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360"/>
      </w:tblGrid>
      <w:tr w:rsidR="00481405" w14:paraId="1C0839C4" w14:textId="77777777" w:rsidTr="00BE217D">
        <w:trPr>
          <w:trHeight w:val="4050"/>
          <w:jc w:val="center"/>
        </w:trPr>
        <w:tc>
          <w:tcPr>
            <w:tcW w:w="5000" w:type="pct"/>
            <w:vAlign w:val="center"/>
          </w:tcPr>
          <w:p w14:paraId="4E9490D7" w14:textId="2BFFA778" w:rsidR="008E715F" w:rsidRDefault="00530FDD" w:rsidP="008E715F">
            <w:pPr>
              <w:pStyle w:val="NoSpacing"/>
              <w:jc w:val="center"/>
              <w:rPr>
                <w:rFonts w:ascii="Arial" w:hAnsi="Arial" w:cs="Arial"/>
                <w:caps/>
              </w:rPr>
            </w:pPr>
            <w:r>
              <w:rPr>
                <w:rFonts w:ascii="Arial" w:hAnsi="Arial" w:cs="Arial"/>
                <w:caps/>
                <w:noProof/>
              </w:rPr>
              <w:drawing>
                <wp:inline distT="0" distB="0" distL="0" distR="0" wp14:anchorId="519B0421" wp14:editId="00F0ABE9">
                  <wp:extent cx="2543175" cy="742950"/>
                  <wp:effectExtent l="0" t="0" r="9525" b="0"/>
                  <wp:docPr id="1" name="Picture 1" descr="CADMIM_logo_V2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MIM_logo_V2_L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742950"/>
                          </a:xfrm>
                          <a:prstGeom prst="rect">
                            <a:avLst/>
                          </a:prstGeom>
                          <a:noFill/>
                          <a:ln>
                            <a:noFill/>
                          </a:ln>
                        </pic:spPr>
                      </pic:pic>
                    </a:graphicData>
                  </a:graphic>
                </wp:inline>
              </w:drawing>
            </w:r>
          </w:p>
          <w:p w14:paraId="34856FBB" w14:textId="77777777" w:rsidR="008E715F" w:rsidRDefault="008E715F" w:rsidP="008E715F">
            <w:pPr>
              <w:pStyle w:val="NoSpacing"/>
              <w:jc w:val="center"/>
              <w:rPr>
                <w:rFonts w:ascii="Arial" w:hAnsi="Arial" w:cs="Arial"/>
                <w:caps/>
              </w:rPr>
            </w:pPr>
          </w:p>
          <w:p w14:paraId="7E1C3AC9" w14:textId="77777777" w:rsidR="00481405" w:rsidRPr="00BE217D" w:rsidRDefault="008E715F" w:rsidP="008E715F">
            <w:pPr>
              <w:pStyle w:val="NoSpacing"/>
              <w:jc w:val="center"/>
              <w:rPr>
                <w:rFonts w:ascii="Arial" w:hAnsi="Arial" w:cs="Arial"/>
                <w:caps/>
                <w:sz w:val="28"/>
                <w:szCs w:val="28"/>
              </w:rPr>
            </w:pPr>
            <w:bookmarkStart w:id="0" w:name="_Hlk113465365"/>
            <w:r w:rsidRPr="00BE217D">
              <w:rPr>
                <w:rFonts w:ascii="Arial" w:hAnsi="Arial" w:cs="Arial"/>
                <w:caps/>
                <w:sz w:val="28"/>
                <w:szCs w:val="28"/>
              </w:rPr>
              <w:t>Center for advanced design and Manufacturing of Integrated microfluifics (CADMIM)</w:t>
            </w:r>
            <w:bookmarkEnd w:id="0"/>
          </w:p>
        </w:tc>
      </w:tr>
      <w:tr w:rsidR="00481405" w14:paraId="567F4F08" w14:textId="77777777">
        <w:trPr>
          <w:trHeight w:val="1440"/>
          <w:jc w:val="center"/>
        </w:trPr>
        <w:tc>
          <w:tcPr>
            <w:tcW w:w="5000" w:type="pct"/>
            <w:tcBorders>
              <w:bottom w:val="single" w:sz="4" w:space="0" w:color="4F81BD"/>
            </w:tcBorders>
            <w:vAlign w:val="center"/>
          </w:tcPr>
          <w:p w14:paraId="029CDAB7" w14:textId="77777777" w:rsidR="00481405" w:rsidRDefault="00481405" w:rsidP="008E715F">
            <w:pPr>
              <w:pStyle w:val="NoSpacing"/>
              <w:jc w:val="center"/>
              <w:rPr>
                <w:rFonts w:ascii="Cambria" w:hAnsi="Cambria"/>
                <w:sz w:val="80"/>
                <w:szCs w:val="80"/>
              </w:rPr>
            </w:pPr>
            <w:r>
              <w:rPr>
                <w:rFonts w:ascii="Arial" w:hAnsi="Arial" w:cs="Arial"/>
                <w:sz w:val="80"/>
                <w:szCs w:val="80"/>
              </w:rPr>
              <w:t xml:space="preserve">Center </w:t>
            </w:r>
            <w:r w:rsidR="008E715F">
              <w:rPr>
                <w:rFonts w:ascii="Arial" w:hAnsi="Arial" w:cs="Arial"/>
                <w:sz w:val="80"/>
                <w:szCs w:val="80"/>
              </w:rPr>
              <w:t>Bylaws</w:t>
            </w:r>
            <w:r w:rsidRPr="00481405">
              <w:rPr>
                <w:rFonts w:ascii="Arial" w:hAnsi="Arial" w:cs="Arial"/>
                <w:sz w:val="80"/>
                <w:szCs w:val="80"/>
              </w:rPr>
              <w:t xml:space="preserve"> </w:t>
            </w:r>
          </w:p>
        </w:tc>
      </w:tr>
      <w:tr w:rsidR="00481405" w14:paraId="615EBC81" w14:textId="77777777">
        <w:trPr>
          <w:trHeight w:val="720"/>
          <w:jc w:val="center"/>
        </w:trPr>
        <w:tc>
          <w:tcPr>
            <w:tcW w:w="5000" w:type="pct"/>
            <w:tcBorders>
              <w:top w:val="single" w:sz="4" w:space="0" w:color="4F81BD"/>
            </w:tcBorders>
            <w:vAlign w:val="center"/>
          </w:tcPr>
          <w:p w14:paraId="6D07DAB8" w14:textId="77777777" w:rsidR="00481405" w:rsidRDefault="00481405" w:rsidP="00481405">
            <w:pPr>
              <w:pStyle w:val="NoSpacing"/>
              <w:jc w:val="center"/>
              <w:rPr>
                <w:rFonts w:ascii="Cambria" w:hAnsi="Cambria"/>
                <w:sz w:val="44"/>
                <w:szCs w:val="44"/>
              </w:rPr>
            </w:pPr>
          </w:p>
        </w:tc>
      </w:tr>
      <w:tr w:rsidR="00481405" w14:paraId="6552D7A1" w14:textId="77777777">
        <w:trPr>
          <w:trHeight w:val="360"/>
          <w:jc w:val="center"/>
        </w:trPr>
        <w:tc>
          <w:tcPr>
            <w:tcW w:w="5000" w:type="pct"/>
            <w:vAlign w:val="center"/>
          </w:tcPr>
          <w:p w14:paraId="0A727DDA" w14:textId="77777777" w:rsidR="00481405" w:rsidRPr="00481405" w:rsidRDefault="00481405">
            <w:pPr>
              <w:pStyle w:val="NoSpacing"/>
              <w:jc w:val="center"/>
            </w:pPr>
          </w:p>
        </w:tc>
      </w:tr>
      <w:tr w:rsidR="00481405" w14:paraId="172769A3" w14:textId="77777777" w:rsidTr="00BE217D">
        <w:trPr>
          <w:trHeight w:val="2340"/>
          <w:jc w:val="center"/>
        </w:trPr>
        <w:tc>
          <w:tcPr>
            <w:tcW w:w="5000" w:type="pct"/>
            <w:vAlign w:val="center"/>
          </w:tcPr>
          <w:p w14:paraId="3627279C" w14:textId="77777777" w:rsidR="00481405" w:rsidRPr="00481405" w:rsidRDefault="00481405">
            <w:pPr>
              <w:pStyle w:val="NoSpacing"/>
              <w:jc w:val="center"/>
              <w:rPr>
                <w:b/>
                <w:bCs/>
              </w:rPr>
            </w:pPr>
          </w:p>
        </w:tc>
      </w:tr>
      <w:tr w:rsidR="00481405" w14:paraId="159ECA50" w14:textId="77777777" w:rsidTr="00BE217D">
        <w:trPr>
          <w:trHeight w:val="1872"/>
          <w:jc w:val="center"/>
        </w:trPr>
        <w:tc>
          <w:tcPr>
            <w:tcW w:w="5000" w:type="pct"/>
            <w:vAlign w:val="center"/>
          </w:tcPr>
          <w:p w14:paraId="5E0C3D26" w14:textId="77777777" w:rsidR="00481405" w:rsidRPr="00BE217D" w:rsidRDefault="00BE217D" w:rsidP="00BC40C6">
            <w:pPr>
              <w:pStyle w:val="NoSpacing"/>
              <w:spacing w:after="120"/>
              <w:jc w:val="center"/>
              <w:rPr>
                <w:rFonts w:ascii="Arial" w:hAnsi="Arial" w:cs="Arial"/>
                <w:b/>
                <w:bCs/>
                <w:sz w:val="36"/>
                <w:szCs w:val="36"/>
              </w:rPr>
            </w:pPr>
            <w:r w:rsidRPr="00BE217D">
              <w:rPr>
                <w:rFonts w:ascii="Arial" w:hAnsi="Arial" w:cs="Arial"/>
                <w:b/>
                <w:bCs/>
                <w:sz w:val="36"/>
                <w:szCs w:val="36"/>
              </w:rPr>
              <w:t>University of California, Irvine</w:t>
            </w:r>
          </w:p>
          <w:p w14:paraId="1692B7B8" w14:textId="77777777" w:rsidR="00BE217D" w:rsidRPr="00481405" w:rsidRDefault="00BE217D" w:rsidP="00A42197">
            <w:pPr>
              <w:pStyle w:val="NoSpacing"/>
              <w:spacing w:after="120"/>
              <w:jc w:val="center"/>
              <w:rPr>
                <w:b/>
                <w:bCs/>
              </w:rPr>
            </w:pPr>
            <w:r w:rsidRPr="00BE217D">
              <w:rPr>
                <w:rFonts w:ascii="Arial" w:hAnsi="Arial" w:cs="Arial"/>
                <w:b/>
                <w:bCs/>
                <w:sz w:val="36"/>
                <w:szCs w:val="36"/>
              </w:rPr>
              <w:t xml:space="preserve">University of </w:t>
            </w:r>
            <w:r w:rsidR="00A42197">
              <w:rPr>
                <w:rFonts w:ascii="Arial" w:hAnsi="Arial" w:cs="Arial"/>
                <w:b/>
                <w:bCs/>
                <w:sz w:val="36"/>
                <w:szCs w:val="36"/>
              </w:rPr>
              <w:t>Illinois at Chicago</w:t>
            </w:r>
          </w:p>
        </w:tc>
      </w:tr>
    </w:tbl>
    <w:p w14:paraId="07C428F2" w14:textId="77777777" w:rsidR="00481405" w:rsidRDefault="00481405"/>
    <w:p w14:paraId="0B638324" w14:textId="77777777" w:rsidR="00481405" w:rsidRDefault="00481405"/>
    <w:tbl>
      <w:tblPr>
        <w:tblpPr w:leftFromText="187" w:rightFromText="187" w:horzAnchor="margin" w:tblpXSpec="center" w:tblpYSpec="bottom"/>
        <w:tblW w:w="5000" w:type="pct"/>
        <w:tblLook w:val="04A0" w:firstRow="1" w:lastRow="0" w:firstColumn="1" w:lastColumn="0" w:noHBand="0" w:noVBand="1"/>
      </w:tblPr>
      <w:tblGrid>
        <w:gridCol w:w="9360"/>
      </w:tblGrid>
      <w:tr w:rsidR="00481405" w14:paraId="455D14EC" w14:textId="77777777" w:rsidTr="00BE217D">
        <w:trPr>
          <w:trHeight w:val="450"/>
        </w:trPr>
        <w:tc>
          <w:tcPr>
            <w:tcW w:w="5000" w:type="pct"/>
            <w:vAlign w:val="center"/>
          </w:tcPr>
          <w:p w14:paraId="03AAAA8A" w14:textId="46830CDD" w:rsidR="00481405" w:rsidRPr="00BE217D" w:rsidRDefault="0087760B" w:rsidP="003C1090">
            <w:pPr>
              <w:pStyle w:val="NoSpacing"/>
              <w:jc w:val="center"/>
              <w:rPr>
                <w:rFonts w:ascii="Arial" w:hAnsi="Arial" w:cs="Arial"/>
                <w:sz w:val="32"/>
                <w:szCs w:val="32"/>
              </w:rPr>
            </w:pPr>
            <w:r>
              <w:rPr>
                <w:rFonts w:ascii="Arial" w:hAnsi="Arial" w:cs="Arial"/>
                <w:sz w:val="32"/>
                <w:szCs w:val="32"/>
              </w:rPr>
              <w:t>Last Updated</w:t>
            </w:r>
            <w:r w:rsidR="00BE217D" w:rsidRPr="00BE217D">
              <w:rPr>
                <w:rFonts w:ascii="Arial" w:hAnsi="Arial" w:cs="Arial"/>
                <w:sz w:val="32"/>
                <w:szCs w:val="32"/>
              </w:rPr>
              <w:t>:</w:t>
            </w:r>
            <w:r w:rsidR="004E1456">
              <w:rPr>
                <w:rFonts w:ascii="Arial" w:hAnsi="Arial" w:cs="Arial"/>
                <w:sz w:val="32"/>
                <w:szCs w:val="32"/>
              </w:rPr>
              <w:t xml:space="preserve"> </w:t>
            </w:r>
            <w:r w:rsidR="003C1090">
              <w:rPr>
                <w:rFonts w:ascii="Arial" w:hAnsi="Arial" w:cs="Arial"/>
                <w:sz w:val="32"/>
                <w:szCs w:val="32"/>
              </w:rPr>
              <w:t>October 28</w:t>
            </w:r>
            <w:r w:rsidR="00726482">
              <w:rPr>
                <w:rFonts w:ascii="Arial" w:hAnsi="Arial" w:cs="Arial"/>
                <w:sz w:val="32"/>
                <w:szCs w:val="32"/>
              </w:rPr>
              <w:t>, 2022</w:t>
            </w:r>
          </w:p>
        </w:tc>
      </w:tr>
    </w:tbl>
    <w:p w14:paraId="1EF882B2" w14:textId="77777777" w:rsidR="00481405" w:rsidRDefault="00481405"/>
    <w:p w14:paraId="3EBA9BCA" w14:textId="77777777" w:rsidR="00892655" w:rsidRDefault="00481405" w:rsidP="0094044E">
      <w:pPr>
        <w:pStyle w:val="Heading1"/>
        <w:spacing w:before="0"/>
      </w:pPr>
      <w:r>
        <w:rPr>
          <w:b w:val="0"/>
        </w:rPr>
        <w:br w:type="page"/>
      </w:r>
      <w:r w:rsidR="00892655">
        <w:lastRenderedPageBreak/>
        <w:t>Article 1:</w:t>
      </w:r>
      <w:r w:rsidR="00892655">
        <w:tab/>
        <w:t xml:space="preserve">Introduction </w:t>
      </w:r>
    </w:p>
    <w:p w14:paraId="17F765E8" w14:textId="77777777" w:rsidR="00892655" w:rsidRDefault="00892655" w:rsidP="00892655">
      <w:pPr>
        <w:pStyle w:val="ColorfulList-Accent11"/>
        <w:numPr>
          <w:ilvl w:val="0"/>
          <w:numId w:val="1"/>
        </w:numPr>
      </w:pPr>
      <w:r>
        <w:t xml:space="preserve">The following </w:t>
      </w:r>
      <w:r w:rsidR="00E20BD5">
        <w:t>by</w:t>
      </w:r>
      <w:r>
        <w:t xml:space="preserve">laws will be used to govern the </w:t>
      </w:r>
      <w:r w:rsidRPr="00510F7A">
        <w:t>Center for Advanced Design and Manufacturing of Integrated Microfluidics</w:t>
      </w:r>
      <w:r>
        <w:t xml:space="preserve"> (“Center”), an Industry/University Cooperative Research Center (“I/UCRC”) funded in part by the National Science Foundation (“NSF”).</w:t>
      </w:r>
    </w:p>
    <w:p w14:paraId="090D40BD" w14:textId="77777777" w:rsidR="00892655" w:rsidRDefault="00892655" w:rsidP="00892655">
      <w:pPr>
        <w:pStyle w:val="ColorfulList-Accent11"/>
        <w:numPr>
          <w:ilvl w:val="0"/>
          <w:numId w:val="1"/>
        </w:numPr>
      </w:pPr>
      <w:r>
        <w:t xml:space="preserve">The </w:t>
      </w:r>
      <w:r w:rsidR="00E20BD5">
        <w:t>by</w:t>
      </w:r>
      <w:r>
        <w:t>laws may be amended at any time by an affirmative vote of the Academic Members, with the consent of two-thirds of the Industrial Advisory Board, as hereinafter defined.</w:t>
      </w:r>
    </w:p>
    <w:p w14:paraId="5C7942C3" w14:textId="77777777" w:rsidR="00892655" w:rsidRDefault="00892655" w:rsidP="00892655">
      <w:pPr>
        <w:pStyle w:val="ColorfulList-Accent11"/>
        <w:numPr>
          <w:ilvl w:val="0"/>
          <w:numId w:val="1"/>
        </w:numPr>
      </w:pPr>
      <w:r>
        <w:t>The Center is a</w:t>
      </w:r>
      <w:r w:rsidR="0027625F">
        <w:t>n industry-</w:t>
      </w:r>
      <w:r>
        <w:t xml:space="preserve">university consortium comprised of the following Academic Members: </w:t>
      </w:r>
    </w:p>
    <w:p w14:paraId="33032435" w14:textId="77777777" w:rsidR="00892655" w:rsidRDefault="00892655" w:rsidP="00892655">
      <w:pPr>
        <w:pStyle w:val="ColorfulList-Accent11"/>
        <w:numPr>
          <w:ilvl w:val="1"/>
          <w:numId w:val="1"/>
        </w:numPr>
      </w:pPr>
      <w:r>
        <w:t>University A; University of California at Irvine</w:t>
      </w:r>
      <w:r w:rsidR="0027625F">
        <w:t xml:space="preserve"> (“UCI”)</w:t>
      </w:r>
    </w:p>
    <w:p w14:paraId="1A90D847" w14:textId="77777777" w:rsidR="00892655" w:rsidRDefault="00892655" w:rsidP="00892655">
      <w:pPr>
        <w:pStyle w:val="ColorfulList-Accent11"/>
        <w:numPr>
          <w:ilvl w:val="1"/>
          <w:numId w:val="1"/>
        </w:numPr>
      </w:pPr>
      <w:r>
        <w:t xml:space="preserve">University B; University of </w:t>
      </w:r>
      <w:r w:rsidR="002869DB">
        <w:t xml:space="preserve">Illinois at Chicago </w:t>
      </w:r>
      <w:r w:rsidR="0027625F">
        <w:t>(“U</w:t>
      </w:r>
      <w:r w:rsidR="002869DB">
        <w:t>IC</w:t>
      </w:r>
      <w:r w:rsidR="0027625F">
        <w:t>”)</w:t>
      </w:r>
    </w:p>
    <w:p w14:paraId="41C5D929" w14:textId="01EA7254" w:rsidR="0027625F" w:rsidRDefault="0027625F" w:rsidP="007C25A6">
      <w:pPr>
        <w:pStyle w:val="ColorfulList-Accent11"/>
        <w:keepNext/>
        <w:numPr>
          <w:ilvl w:val="0"/>
          <w:numId w:val="0"/>
        </w:numPr>
        <w:ind w:left="720" w:hanging="360"/>
      </w:pPr>
      <w:r>
        <w:t xml:space="preserve">       and Industrial Members</w:t>
      </w:r>
      <w:r w:rsidR="00283304">
        <w:t xml:space="preserve"> and Association Members</w:t>
      </w:r>
      <w:r w:rsidR="009C52C9">
        <w:t xml:space="preserve"> that make up the Industrial Advisory Board (“IAB”) as defined in Article </w:t>
      </w:r>
      <w:r w:rsidR="007C25A6">
        <w:t>4</w:t>
      </w:r>
      <w:r w:rsidR="009C52C9">
        <w:t>.</w:t>
      </w:r>
    </w:p>
    <w:p w14:paraId="5E28CAAA" w14:textId="6D9B4C33" w:rsidR="00892655" w:rsidRDefault="00892655" w:rsidP="00892655">
      <w:pPr>
        <w:pStyle w:val="ColorfulList-Accent11"/>
        <w:numPr>
          <w:ilvl w:val="0"/>
          <w:numId w:val="1"/>
        </w:numPr>
      </w:pPr>
      <w:r>
        <w:t xml:space="preserve">These </w:t>
      </w:r>
      <w:r w:rsidR="00E20BD5">
        <w:t>by</w:t>
      </w:r>
      <w:r>
        <w:t xml:space="preserve">laws form a part of the Membership Agreement </w:t>
      </w:r>
      <w:r w:rsidR="0027625F">
        <w:t xml:space="preserve">between UCI and </w:t>
      </w:r>
      <w:r w:rsidR="002869DB">
        <w:t xml:space="preserve">UIC </w:t>
      </w:r>
      <w:r w:rsidR="0027625F">
        <w:t>as well as with UCI and the various</w:t>
      </w:r>
      <w:r w:rsidR="0064282F">
        <w:t xml:space="preserve"> members of the IAB</w:t>
      </w:r>
      <w:r w:rsidR="0027625F">
        <w:t xml:space="preserve"> </w:t>
      </w:r>
      <w:r w:rsidR="001F0296">
        <w:t>,</w:t>
      </w:r>
      <w:r w:rsidR="0027625F">
        <w:t xml:space="preserve"> hereinafter also referred to as “</w:t>
      </w:r>
      <w:r>
        <w:t>Member</w:t>
      </w:r>
      <w:r w:rsidR="0027625F">
        <w:t>”</w:t>
      </w:r>
      <w:r>
        <w:t xml:space="preserve">. If there are any inconsistencies between the </w:t>
      </w:r>
      <w:r w:rsidR="00E20BD5">
        <w:t>by</w:t>
      </w:r>
      <w:r>
        <w:t xml:space="preserve">laws and the Membership Agreement, the terms and conditions outlined in the Membership Agreement take precedence over the </w:t>
      </w:r>
      <w:r w:rsidR="00E20BD5">
        <w:t>by</w:t>
      </w:r>
      <w:r>
        <w:t>laws</w:t>
      </w:r>
      <w:r w:rsidR="00FE39FB">
        <w:t>.</w:t>
      </w:r>
    </w:p>
    <w:p w14:paraId="5DF3D49E" w14:textId="77777777" w:rsidR="00892655" w:rsidRDefault="00892655" w:rsidP="00892655">
      <w:pPr>
        <w:pStyle w:val="Heading1"/>
      </w:pPr>
      <w:r>
        <w:t>Article 2:</w:t>
      </w:r>
      <w:r>
        <w:tab/>
        <w:t>Purpose</w:t>
      </w:r>
    </w:p>
    <w:p w14:paraId="6E308AB6" w14:textId="77777777" w:rsidR="00C633B0" w:rsidRPr="00C633B0" w:rsidRDefault="00892655" w:rsidP="00C633B0">
      <w:pPr>
        <w:pStyle w:val="ColorfulList-Accent11"/>
        <w:numPr>
          <w:ilvl w:val="0"/>
          <w:numId w:val="3"/>
        </w:numPr>
        <w:rPr>
          <w:szCs w:val="20"/>
        </w:rPr>
      </w:pPr>
      <w:r w:rsidRPr="004E1E82">
        <w:rPr>
          <w:szCs w:val="20"/>
          <w:u w:val="single"/>
        </w:rPr>
        <w:t>Vision Statement:</w:t>
      </w:r>
      <w:r w:rsidRPr="00C633B0">
        <w:rPr>
          <w:szCs w:val="20"/>
        </w:rPr>
        <w:t xml:space="preserve"> The vision of </w:t>
      </w:r>
      <w:r w:rsidR="00C633B0">
        <w:rPr>
          <w:szCs w:val="20"/>
        </w:rPr>
        <w:t>the Center is</w:t>
      </w:r>
      <w:r w:rsidR="00E20BD5" w:rsidRPr="00C633B0">
        <w:rPr>
          <w:szCs w:val="20"/>
        </w:rPr>
        <w:t xml:space="preserve"> to advance research and education on the science, engineering and</w:t>
      </w:r>
      <w:r w:rsidR="00C633B0" w:rsidRPr="00C633B0">
        <w:rPr>
          <w:szCs w:val="20"/>
        </w:rPr>
        <w:t xml:space="preserve"> </w:t>
      </w:r>
      <w:r w:rsidR="00E20BD5" w:rsidRPr="00C633B0">
        <w:rPr>
          <w:szCs w:val="20"/>
        </w:rPr>
        <w:t>applications of integrated microfluidic design and scalable production through dedicated,</w:t>
      </w:r>
      <w:r w:rsidR="00C633B0" w:rsidRPr="00C633B0">
        <w:rPr>
          <w:szCs w:val="20"/>
        </w:rPr>
        <w:t xml:space="preserve"> </w:t>
      </w:r>
      <w:r w:rsidR="00E20BD5" w:rsidRPr="00C633B0">
        <w:rPr>
          <w:szCs w:val="20"/>
        </w:rPr>
        <w:t>continuing industrial partnerships. This center has been devised to concentrate and deploy</w:t>
      </w:r>
      <w:r w:rsidR="00C633B0" w:rsidRPr="00C633B0">
        <w:rPr>
          <w:szCs w:val="20"/>
        </w:rPr>
        <w:t xml:space="preserve"> </w:t>
      </w:r>
      <w:r w:rsidR="00E20BD5" w:rsidRPr="00C633B0">
        <w:rPr>
          <w:szCs w:val="20"/>
        </w:rPr>
        <w:t>resources and people to launch a transformation in ubiquitous diagnostics by creating the tools,</w:t>
      </w:r>
      <w:r w:rsidR="00C633B0" w:rsidRPr="00C633B0">
        <w:rPr>
          <w:szCs w:val="20"/>
        </w:rPr>
        <w:t xml:space="preserve"> </w:t>
      </w:r>
      <w:r w:rsidR="00E20BD5" w:rsidRPr="00C633B0">
        <w:rPr>
          <w:szCs w:val="20"/>
        </w:rPr>
        <w:t>methods, and technologies that will enable low</w:t>
      </w:r>
      <w:r w:rsidR="00E20BD5" w:rsidRPr="00C633B0">
        <w:rPr>
          <w:rFonts w:ascii="Calibri" w:hAnsi="Calibri"/>
          <w:szCs w:val="20"/>
        </w:rPr>
        <w:t>‐</w:t>
      </w:r>
      <w:r w:rsidR="00E20BD5" w:rsidRPr="00C633B0">
        <w:rPr>
          <w:szCs w:val="20"/>
        </w:rPr>
        <w:t>cost, simple, rapid assessment anywhere and</w:t>
      </w:r>
      <w:r w:rsidR="00C633B0" w:rsidRPr="00C633B0">
        <w:rPr>
          <w:szCs w:val="20"/>
        </w:rPr>
        <w:t xml:space="preserve"> </w:t>
      </w:r>
      <w:r w:rsidR="00E20BD5" w:rsidRPr="00C633B0">
        <w:rPr>
          <w:szCs w:val="20"/>
        </w:rPr>
        <w:t>everywhere – the environment, agriculture, food and water supplies, and ultimately for human</w:t>
      </w:r>
      <w:r w:rsidR="00C633B0" w:rsidRPr="00C633B0">
        <w:rPr>
          <w:szCs w:val="20"/>
        </w:rPr>
        <w:t xml:space="preserve"> </w:t>
      </w:r>
      <w:r w:rsidR="00E20BD5" w:rsidRPr="00C633B0">
        <w:rPr>
          <w:szCs w:val="20"/>
        </w:rPr>
        <w:t>health and safety.</w:t>
      </w:r>
    </w:p>
    <w:p w14:paraId="574655BC" w14:textId="77777777" w:rsidR="00C633B0" w:rsidRDefault="00892655" w:rsidP="00C633B0">
      <w:pPr>
        <w:pStyle w:val="ColorfulList-Accent11"/>
        <w:numPr>
          <w:ilvl w:val="0"/>
          <w:numId w:val="3"/>
        </w:numPr>
      </w:pPr>
      <w:r w:rsidRPr="004E1E82">
        <w:rPr>
          <w:u w:val="single"/>
        </w:rPr>
        <w:t>Mission Statement</w:t>
      </w:r>
      <w:r w:rsidRPr="00396F22">
        <w:rPr>
          <w:u w:val="single"/>
        </w:rPr>
        <w:t>:</w:t>
      </w:r>
      <w:r w:rsidRPr="00396F22">
        <w:t xml:space="preserve"> </w:t>
      </w:r>
      <w:r w:rsidR="004E1E82" w:rsidRPr="00396F22">
        <w:rPr>
          <w:rFonts w:eastAsia="Times New Roman"/>
          <w:bCs/>
          <w:szCs w:val="20"/>
        </w:rPr>
        <w:t xml:space="preserve">As a National Science Foundation (NSF) Industry/University Cooperative Research Center (I/UCRC), the Center for Advanced Design and Manufacturing of Integrated Microfluidics (CADMIM) </w:t>
      </w:r>
      <w:r w:rsidR="00396F22" w:rsidRPr="00396F22">
        <w:t>will</w:t>
      </w:r>
      <w:r w:rsidRPr="00396F22">
        <w:t xml:space="preserve"> develop</w:t>
      </w:r>
      <w:r w:rsidRPr="00AF73B4">
        <w:t xml:space="preserve"> design tools and manufacturing technologies for integrated microfludics targeting cost-effective, quick, and easy assessment of the environment, agriculture, and human health. </w:t>
      </w:r>
    </w:p>
    <w:p w14:paraId="4054039C" w14:textId="6A33ACE3" w:rsidR="00892655" w:rsidRDefault="00892655" w:rsidP="00C633B0">
      <w:pPr>
        <w:pStyle w:val="ColorfulList-Accent11"/>
        <w:numPr>
          <w:ilvl w:val="0"/>
          <w:numId w:val="3"/>
        </w:numPr>
      </w:pPr>
      <w:r>
        <w:t xml:space="preserve">Research focus: The Center’s research topics will focus on the needs of the </w:t>
      </w:r>
      <w:r w:rsidR="004D4327">
        <w:t xml:space="preserve">IAB </w:t>
      </w:r>
      <w:r w:rsidR="009C52C9">
        <w:t xml:space="preserve">Members </w:t>
      </w:r>
      <w:r>
        <w:t xml:space="preserve">and the capabilities of the </w:t>
      </w:r>
      <w:r w:rsidR="009C52C9">
        <w:t>Academic Members</w:t>
      </w:r>
      <w:r>
        <w:t xml:space="preserve">. Areas of research include but are not limited to: </w:t>
      </w:r>
    </w:p>
    <w:p w14:paraId="721B4A3D" w14:textId="77777777" w:rsidR="00892655" w:rsidRDefault="003D4273" w:rsidP="007C25A6">
      <w:pPr>
        <w:pStyle w:val="ColorfulList-Accent11"/>
        <w:numPr>
          <w:ilvl w:val="1"/>
          <w:numId w:val="13"/>
        </w:numPr>
        <w:spacing w:after="120"/>
      </w:pPr>
      <w:r>
        <w:t>Manufacturable Processes and Materials</w:t>
      </w:r>
    </w:p>
    <w:p w14:paraId="1BFC0CCF" w14:textId="77777777" w:rsidR="00892655" w:rsidRDefault="003D4273" w:rsidP="007C25A6">
      <w:pPr>
        <w:pStyle w:val="ColorfulList-Accent11"/>
        <w:numPr>
          <w:ilvl w:val="1"/>
          <w:numId w:val="13"/>
        </w:numPr>
        <w:spacing w:after="120"/>
      </w:pPr>
      <w:r>
        <w:t>Sample Processing and Detection</w:t>
      </w:r>
    </w:p>
    <w:p w14:paraId="2F842469" w14:textId="77777777" w:rsidR="00892655" w:rsidRDefault="003D4273" w:rsidP="00E20BD5">
      <w:pPr>
        <w:pStyle w:val="ColorfulList-Accent11"/>
        <w:numPr>
          <w:ilvl w:val="1"/>
          <w:numId w:val="13"/>
        </w:numPr>
      </w:pPr>
      <w:r>
        <w:t>Integration and Control Systems</w:t>
      </w:r>
    </w:p>
    <w:p w14:paraId="7B75A75C" w14:textId="77777777" w:rsidR="00892655" w:rsidRDefault="00892655" w:rsidP="00892655">
      <w:pPr>
        <w:pStyle w:val="Heading1"/>
      </w:pPr>
      <w:r>
        <w:lastRenderedPageBreak/>
        <w:t>Article 3:</w:t>
      </w:r>
      <w:r>
        <w:tab/>
        <w:t xml:space="preserve">Membership </w:t>
      </w:r>
    </w:p>
    <w:p w14:paraId="6BA25EBE" w14:textId="77777777" w:rsidR="00892655" w:rsidRDefault="00892655" w:rsidP="007C25A6">
      <w:pPr>
        <w:pStyle w:val="ColorfulList-Accent11"/>
        <w:numPr>
          <w:ilvl w:val="0"/>
          <w:numId w:val="4"/>
        </w:numPr>
        <w:spacing w:after="120"/>
      </w:pPr>
      <w:r>
        <w:t xml:space="preserve">The classes of membership shall include: </w:t>
      </w:r>
    </w:p>
    <w:p w14:paraId="4F1995A2" w14:textId="77777777" w:rsidR="00892655" w:rsidRDefault="00892655" w:rsidP="007C25A6">
      <w:pPr>
        <w:pStyle w:val="ColorfulList-Accent11"/>
        <w:numPr>
          <w:ilvl w:val="1"/>
          <w:numId w:val="4"/>
        </w:numPr>
        <w:spacing w:after="120"/>
      </w:pPr>
      <w:r>
        <w:t xml:space="preserve">Academic </w:t>
      </w:r>
      <w:r w:rsidR="009C52C9">
        <w:t>M</w:t>
      </w:r>
      <w:r>
        <w:t>embers</w:t>
      </w:r>
    </w:p>
    <w:p w14:paraId="238E565F" w14:textId="20593F6B" w:rsidR="00892655" w:rsidRDefault="00892655" w:rsidP="00CA3D49">
      <w:pPr>
        <w:pStyle w:val="ColorfulList-Accent11"/>
        <w:numPr>
          <w:ilvl w:val="1"/>
          <w:numId w:val="4"/>
        </w:numPr>
        <w:spacing w:after="120"/>
      </w:pPr>
      <w:r>
        <w:t xml:space="preserve">Industrial </w:t>
      </w:r>
      <w:r w:rsidR="009C52C9">
        <w:t>M</w:t>
      </w:r>
      <w:r>
        <w:t xml:space="preserve">embers </w:t>
      </w:r>
    </w:p>
    <w:p w14:paraId="1AE2B3E1" w14:textId="7735FF70" w:rsidR="000724FD" w:rsidRDefault="000724FD" w:rsidP="00892655">
      <w:pPr>
        <w:pStyle w:val="ColorfulList-Accent11"/>
        <w:numPr>
          <w:ilvl w:val="1"/>
          <w:numId w:val="4"/>
        </w:numPr>
      </w:pPr>
      <w:r>
        <w:t>Association Members</w:t>
      </w:r>
    </w:p>
    <w:p w14:paraId="26945148" w14:textId="77777777" w:rsidR="00892655" w:rsidRDefault="00892655" w:rsidP="00892655">
      <w:pPr>
        <w:pStyle w:val="ColorfulList-Accent11"/>
        <w:numPr>
          <w:ilvl w:val="0"/>
          <w:numId w:val="4"/>
        </w:numPr>
      </w:pPr>
      <w:r>
        <w:t xml:space="preserve">Academic Members. An “Academic Member” includes the founding universities listed above, as </w:t>
      </w:r>
      <w:r w:rsidR="009C52C9">
        <w:t xml:space="preserve">Academic Members, as </w:t>
      </w:r>
      <w:r>
        <w:t>well as any college or university that subsequently joins the Center</w:t>
      </w:r>
      <w:r w:rsidR="005429ED">
        <w:t xml:space="preserve"> as an official site of CADMIM,</w:t>
      </w:r>
      <w:r>
        <w:t xml:space="preserve"> for purposes of participating in activities of the Center.</w:t>
      </w:r>
      <w:r w:rsidR="001C33A1">
        <w:t xml:space="preserve"> </w:t>
      </w:r>
    </w:p>
    <w:p w14:paraId="22FEF7AC" w14:textId="77777777" w:rsidR="001C33A1" w:rsidRDefault="001C33A1" w:rsidP="00CE03E2">
      <w:pPr>
        <w:pStyle w:val="ColorfulList-Accent11"/>
        <w:numPr>
          <w:ilvl w:val="1"/>
          <w:numId w:val="4"/>
        </w:numPr>
      </w:pPr>
      <w:r>
        <w:t xml:space="preserve">If a CADMIM site is transferred to a new university, then the new university </w:t>
      </w:r>
      <w:r w:rsidR="00F25D05">
        <w:t xml:space="preserve">under contract with NSF and receiving supporting funds </w:t>
      </w:r>
      <w:r>
        <w:t xml:space="preserve">will become an Academic Member. The university relinquishing </w:t>
      </w:r>
      <w:r w:rsidR="00F25D05">
        <w:t>the NSF contract and supporting funds is no longer an Academic Member.</w:t>
      </w:r>
      <w:r w:rsidR="00CE03E2">
        <w:t xml:space="preserve"> The university relinquishing the NSF contract can become an affiliated university of CADMIM, as described in Article 10, section 3.</w:t>
      </w:r>
    </w:p>
    <w:p w14:paraId="2A704406" w14:textId="1888898B" w:rsidR="00F909DB" w:rsidRDefault="00F909DB" w:rsidP="00546D8B">
      <w:pPr>
        <w:pStyle w:val="ColorfulList-Accent11"/>
        <w:numPr>
          <w:ilvl w:val="0"/>
          <w:numId w:val="4"/>
        </w:numPr>
      </w:pPr>
      <w:r>
        <w:t xml:space="preserve">Industrial Members. An “Industrial Member” is defined as any company, federal research and development organization, or any government-owned contractor operated laboratory that has joined and been accepted as a member of the Center by signing the CADMIM </w:t>
      </w:r>
      <w:r w:rsidR="008A3C03">
        <w:t xml:space="preserve">I/UCRC </w:t>
      </w:r>
      <w:r>
        <w:t>Membership Agreement</w:t>
      </w:r>
      <w:r w:rsidR="00997DCF">
        <w:t xml:space="preserve"> for </w:t>
      </w:r>
      <w:r w:rsidR="003302E2">
        <w:t xml:space="preserve">Industrial </w:t>
      </w:r>
      <w:r w:rsidR="005B5B05">
        <w:t>Member</w:t>
      </w:r>
      <w:r w:rsidR="008F2126">
        <w:t>s</w:t>
      </w:r>
      <w:r w:rsidR="00945082">
        <w:t>,</w:t>
      </w:r>
      <w:r>
        <w:t xml:space="preserve"> </w:t>
      </w:r>
      <w:r w:rsidR="00945082">
        <w:t>which has also</w:t>
      </w:r>
      <w:r>
        <w:t xml:space="preserve"> been signed by an authorized representative of</w:t>
      </w:r>
      <w:r w:rsidR="009C52C9">
        <w:t xml:space="preserve"> UCI</w:t>
      </w:r>
      <w:r w:rsidR="00945082">
        <w:t>,</w:t>
      </w:r>
      <w:r>
        <w:t xml:space="preserve"> and has paid annual membership fees </w:t>
      </w:r>
      <w:r w:rsidR="009C52C9">
        <w:t xml:space="preserve">or made the respective in-kind contribution </w:t>
      </w:r>
      <w:r>
        <w:t>pursuant to said agreement.</w:t>
      </w:r>
    </w:p>
    <w:p w14:paraId="2FEE590C" w14:textId="35B6DE47" w:rsidR="00F909DB" w:rsidRDefault="00DD1A65" w:rsidP="00F909DB">
      <w:pPr>
        <w:pStyle w:val="ColorfulList-Accent11"/>
        <w:numPr>
          <w:ilvl w:val="1"/>
          <w:numId w:val="4"/>
        </w:numPr>
      </w:pPr>
      <w:r>
        <w:t>Cash</w:t>
      </w:r>
      <w:r w:rsidR="00633A92">
        <w:t>-Paying</w:t>
      </w:r>
      <w:r w:rsidR="00F909DB">
        <w:t xml:space="preserve"> Members shall pay a $</w:t>
      </w:r>
      <w:r w:rsidR="00F909DB" w:rsidRPr="00A7478F">
        <w:t>50,000</w:t>
      </w:r>
      <w:r w:rsidR="00F909DB">
        <w:t xml:space="preserve"> membership fee per year in support of the Center. Membership fees will be used to support Center research.</w:t>
      </w:r>
      <w:r w:rsidR="00617BA8">
        <w:t xml:space="preserve"> </w:t>
      </w:r>
      <w:r w:rsidR="002C38EE">
        <w:t>These members</w:t>
      </w:r>
      <w:r w:rsidR="00617BA8">
        <w:t xml:space="preserve"> have the rights and responsibilities specified in the </w:t>
      </w:r>
      <w:r w:rsidR="00097F35">
        <w:t xml:space="preserve">CADMIM I/UCRC Membership Agreement </w:t>
      </w:r>
      <w:r w:rsidR="00F74095">
        <w:t xml:space="preserve">for </w:t>
      </w:r>
      <w:r w:rsidR="003302E2">
        <w:t xml:space="preserve">Industrial </w:t>
      </w:r>
      <w:r w:rsidR="005B5B05">
        <w:t>Member</w:t>
      </w:r>
      <w:r w:rsidR="008F2126">
        <w:t xml:space="preserve">s </w:t>
      </w:r>
      <w:r w:rsidR="00617BA8">
        <w:t>and in these Bylaws.</w:t>
      </w:r>
      <w:r w:rsidR="009C52C9">
        <w:t xml:space="preserve"> These members also hold a seat on the IAB</w:t>
      </w:r>
      <w:r w:rsidR="00F74095">
        <w:t>, an</w:t>
      </w:r>
      <w:r w:rsidR="00113E00">
        <w:t>d</w:t>
      </w:r>
      <w:r w:rsidR="00F74095">
        <w:t xml:space="preserve"> have full voting power (see Article 8)</w:t>
      </w:r>
      <w:r w:rsidR="002C38EE">
        <w:t>.</w:t>
      </w:r>
    </w:p>
    <w:p w14:paraId="65DAE40B" w14:textId="08B1371C" w:rsidR="00471953" w:rsidRPr="000272B1" w:rsidRDefault="00F17A11" w:rsidP="00F909DB">
      <w:pPr>
        <w:pStyle w:val="ColorfulList-Accent11"/>
        <w:numPr>
          <w:ilvl w:val="1"/>
          <w:numId w:val="4"/>
        </w:numPr>
      </w:pPr>
      <w:r>
        <w:t>M</w:t>
      </w:r>
      <w:r w:rsidR="00471953">
        <w:t>embership of a subsidiary does not include the parent company and vice versa. Only the entity that signs the membership agreement</w:t>
      </w:r>
      <w:r>
        <w:t xml:space="preserve"> and pays the annual membership fee</w:t>
      </w:r>
      <w:r w:rsidR="00471953">
        <w:t xml:space="preserve"> will have the rights and responsibilities specified in the CADMIM I/UCRC Membership </w:t>
      </w:r>
      <w:r w:rsidR="00471953" w:rsidRPr="000272B1">
        <w:t xml:space="preserve">Agreement for Industrial </w:t>
      </w:r>
      <w:r w:rsidR="005B5B05">
        <w:t>Member</w:t>
      </w:r>
      <w:r w:rsidR="008F2126">
        <w:t>s</w:t>
      </w:r>
      <w:r w:rsidR="008F2126" w:rsidRPr="000272B1">
        <w:t xml:space="preserve"> </w:t>
      </w:r>
      <w:r w:rsidR="00471953" w:rsidRPr="000272B1">
        <w:t>and in these Bylaws</w:t>
      </w:r>
      <w:r w:rsidR="00195A08">
        <w:t>.</w:t>
      </w:r>
    </w:p>
    <w:p w14:paraId="196B6D2A" w14:textId="6D6136A5" w:rsidR="00F909DB" w:rsidRPr="000272B1" w:rsidRDefault="00170FDB" w:rsidP="00F909DB">
      <w:pPr>
        <w:pStyle w:val="ColorfulList-Accent11"/>
        <w:numPr>
          <w:ilvl w:val="1"/>
          <w:numId w:val="4"/>
        </w:numPr>
      </w:pPr>
      <w:r w:rsidRPr="000272B1">
        <w:t>Requests for in-kind memberships will be considered and may be granted in limited instances.</w:t>
      </w:r>
      <w:r w:rsidR="00DD4574" w:rsidRPr="000272B1">
        <w:t xml:space="preserve"> </w:t>
      </w:r>
      <w:r w:rsidR="00F909DB" w:rsidRPr="000272B1">
        <w:t>In-</w:t>
      </w:r>
      <w:r w:rsidR="003D58C9" w:rsidRPr="000272B1">
        <w:t>k</w:t>
      </w:r>
      <w:r w:rsidR="00F909DB" w:rsidRPr="000272B1">
        <w:t xml:space="preserve">ind </w:t>
      </w:r>
      <w:r w:rsidR="006710E5">
        <w:t xml:space="preserve">Industrial </w:t>
      </w:r>
      <w:r w:rsidR="00F909DB" w:rsidRPr="000272B1">
        <w:t xml:space="preserve">Members will contribute goods and/or services equivalent to </w:t>
      </w:r>
      <w:r w:rsidR="00F74095" w:rsidRPr="000272B1">
        <w:t xml:space="preserve">a </w:t>
      </w:r>
      <w:r w:rsidR="00DD1A65" w:rsidRPr="000272B1">
        <w:t xml:space="preserve">minimum </w:t>
      </w:r>
      <w:r w:rsidR="00F74095" w:rsidRPr="000272B1">
        <w:t xml:space="preserve">of </w:t>
      </w:r>
      <w:r w:rsidR="00F909DB" w:rsidRPr="000272B1">
        <w:t>$</w:t>
      </w:r>
      <w:r w:rsidR="00DD1A65" w:rsidRPr="000272B1">
        <w:t>25,</w:t>
      </w:r>
      <w:r w:rsidR="00F909DB" w:rsidRPr="000272B1">
        <w:t>000</w:t>
      </w:r>
      <w:r w:rsidR="009C52C9" w:rsidRPr="000272B1">
        <w:t xml:space="preserve"> </w:t>
      </w:r>
      <w:r w:rsidR="00F909DB" w:rsidRPr="000272B1">
        <w:t>in support of Center research.</w:t>
      </w:r>
      <w:r w:rsidR="00837652" w:rsidRPr="000272B1">
        <w:t xml:space="preserve"> </w:t>
      </w:r>
      <w:r w:rsidR="002452E4" w:rsidRPr="000272B1">
        <w:t xml:space="preserve">In-kind membership </w:t>
      </w:r>
      <w:r w:rsidR="00113E00" w:rsidRPr="000272B1">
        <w:t>will be</w:t>
      </w:r>
      <w:r w:rsidR="002452E4" w:rsidRPr="000272B1">
        <w:t xml:space="preserve"> valid for </w:t>
      </w:r>
      <w:r w:rsidR="00113E00" w:rsidRPr="000272B1">
        <w:t>one (</w:t>
      </w:r>
      <w:r w:rsidR="002452E4" w:rsidRPr="000272B1">
        <w:t>1</w:t>
      </w:r>
      <w:r w:rsidR="00113E00" w:rsidRPr="000272B1">
        <w:t>)</w:t>
      </w:r>
      <w:r w:rsidR="002452E4" w:rsidRPr="000272B1">
        <w:t xml:space="preserve"> year</w:t>
      </w:r>
      <w:r w:rsidRPr="000272B1">
        <w:t xml:space="preserve"> and will </w:t>
      </w:r>
      <w:r w:rsidR="00DD4574" w:rsidRPr="000272B1">
        <w:t>include a seat on the IAB</w:t>
      </w:r>
      <w:r w:rsidR="00450F36" w:rsidRPr="000272B1">
        <w:t>, b</w:t>
      </w:r>
      <w:r w:rsidR="00DD4574" w:rsidRPr="000272B1">
        <w:t xml:space="preserve">ut </w:t>
      </w:r>
      <w:r w:rsidRPr="000272B1">
        <w:t xml:space="preserve">that seat will carry </w:t>
      </w:r>
      <w:r w:rsidR="009C1898">
        <w:t>up to</w:t>
      </w:r>
      <w:r w:rsidR="009C1898" w:rsidRPr="000272B1">
        <w:t xml:space="preserve"> </w:t>
      </w:r>
      <w:r w:rsidR="00F74095" w:rsidRPr="000272B1">
        <w:t xml:space="preserve">half the voting power </w:t>
      </w:r>
      <w:r w:rsidR="00113E00" w:rsidRPr="000272B1">
        <w:t xml:space="preserve">of seats held by </w:t>
      </w:r>
      <w:r w:rsidR="00F74095" w:rsidRPr="000272B1">
        <w:t>cash-paying members (see Article 8)</w:t>
      </w:r>
      <w:r w:rsidR="00113E00" w:rsidRPr="000272B1">
        <w:t xml:space="preserve">. Further, In-Kind </w:t>
      </w:r>
      <w:r w:rsidR="006710E5">
        <w:t xml:space="preserve">Industrial </w:t>
      </w:r>
      <w:r w:rsidR="00113E00" w:rsidRPr="000272B1">
        <w:t>Members will have</w:t>
      </w:r>
      <w:r w:rsidR="00DD4574" w:rsidRPr="000272B1">
        <w:t xml:space="preserve"> secondary access to Center-generated intellectual property (see Article </w:t>
      </w:r>
      <w:r w:rsidR="004577AD" w:rsidRPr="000272B1">
        <w:t>14).</w:t>
      </w:r>
      <w:r w:rsidR="000E368B" w:rsidRPr="000272B1">
        <w:t xml:space="preserve"> In requesting approval for an in-kind membership, potential </w:t>
      </w:r>
      <w:r w:rsidR="009C52C9" w:rsidRPr="000272B1">
        <w:t>members must provide a</w:t>
      </w:r>
      <w:r w:rsidR="00450F36" w:rsidRPr="000272B1">
        <w:t>n annual</w:t>
      </w:r>
      <w:r w:rsidR="009C52C9" w:rsidRPr="000272B1">
        <w:t xml:space="preserve"> valuation letter for the </w:t>
      </w:r>
      <w:r w:rsidR="00450F36" w:rsidRPr="000272B1">
        <w:t xml:space="preserve">upcoming fiscal </w:t>
      </w:r>
      <w:r w:rsidR="009C52C9" w:rsidRPr="000272B1">
        <w:t>year</w:t>
      </w:r>
      <w:r w:rsidR="00450F36" w:rsidRPr="000272B1">
        <w:t xml:space="preserve"> </w:t>
      </w:r>
      <w:r w:rsidR="00F37AA3" w:rsidRPr="000272B1">
        <w:t xml:space="preserve">which describes in detail </w:t>
      </w:r>
      <w:r w:rsidR="009C52C9" w:rsidRPr="000272B1">
        <w:t>the good</w:t>
      </w:r>
      <w:r w:rsidR="005429ED" w:rsidRPr="000272B1">
        <w:t>s</w:t>
      </w:r>
      <w:r w:rsidR="009C52C9" w:rsidRPr="000272B1">
        <w:t xml:space="preserve"> and/or service</w:t>
      </w:r>
      <w:r w:rsidR="005429ED" w:rsidRPr="000272B1">
        <w:t>s</w:t>
      </w:r>
      <w:r w:rsidR="009C52C9" w:rsidRPr="000272B1">
        <w:t xml:space="preserve"> provided</w:t>
      </w:r>
      <w:r w:rsidR="00F74095" w:rsidRPr="000272B1">
        <w:t xml:space="preserve">, </w:t>
      </w:r>
      <w:r w:rsidR="009C52C9" w:rsidRPr="000272B1">
        <w:t xml:space="preserve">equivalent to </w:t>
      </w:r>
      <w:r w:rsidR="00DD4574" w:rsidRPr="000272B1">
        <w:t xml:space="preserve">at least </w:t>
      </w:r>
      <w:r w:rsidR="00F74095" w:rsidRPr="000272B1">
        <w:t>$</w:t>
      </w:r>
      <w:r w:rsidR="005B465C" w:rsidRPr="000272B1">
        <w:t>25</w:t>
      </w:r>
      <w:r w:rsidR="00F74095" w:rsidRPr="000272B1">
        <w:t>,000</w:t>
      </w:r>
      <w:r w:rsidR="009C52C9" w:rsidRPr="000272B1">
        <w:t xml:space="preserve">. </w:t>
      </w:r>
      <w:r w:rsidR="000E368B" w:rsidRPr="000272B1">
        <w:t xml:space="preserve">Such </w:t>
      </w:r>
      <w:r w:rsidR="00BC2D27" w:rsidRPr="000272B1">
        <w:t>I</w:t>
      </w:r>
      <w:r w:rsidR="00837652" w:rsidRPr="000272B1">
        <w:t>n-</w:t>
      </w:r>
      <w:r w:rsidR="003D58C9" w:rsidRPr="000272B1">
        <w:t>k</w:t>
      </w:r>
      <w:r w:rsidR="00837652" w:rsidRPr="000272B1">
        <w:t>ind membership</w:t>
      </w:r>
      <w:r w:rsidR="002452E4" w:rsidRPr="000272B1">
        <w:t>s</w:t>
      </w:r>
      <w:r w:rsidR="00837652" w:rsidRPr="000272B1">
        <w:t xml:space="preserve"> </w:t>
      </w:r>
      <w:r w:rsidR="00113E00" w:rsidRPr="000272B1">
        <w:t>must be approved</w:t>
      </w:r>
      <w:r w:rsidR="00BC2D27" w:rsidRPr="000272B1">
        <w:t xml:space="preserve"> annual</w:t>
      </w:r>
      <w:r w:rsidR="00113E00" w:rsidRPr="000272B1">
        <w:t>ly by</w:t>
      </w:r>
      <w:r w:rsidR="00837652" w:rsidRPr="000272B1">
        <w:t xml:space="preserve"> </w:t>
      </w:r>
      <w:r w:rsidR="00053CD0" w:rsidRPr="000272B1">
        <w:t xml:space="preserve">two-thirds (2/3) </w:t>
      </w:r>
      <w:r w:rsidR="00113E00" w:rsidRPr="000272B1">
        <w:t>of</w:t>
      </w:r>
      <w:r w:rsidR="00837652" w:rsidRPr="000272B1">
        <w:t xml:space="preserve"> the </w:t>
      </w:r>
      <w:r w:rsidR="009C52C9" w:rsidRPr="000272B1">
        <w:t xml:space="preserve">cash-paying </w:t>
      </w:r>
      <w:r w:rsidR="00837652" w:rsidRPr="000272B1">
        <w:t>I</w:t>
      </w:r>
      <w:r w:rsidR="009C52C9" w:rsidRPr="000272B1">
        <w:t>AB members</w:t>
      </w:r>
      <w:r w:rsidR="00837652" w:rsidRPr="000272B1">
        <w:t xml:space="preserve">. </w:t>
      </w:r>
      <w:r w:rsidR="008D3D2E" w:rsidRPr="000272B1">
        <w:t xml:space="preserve">Goods and/or services provided to CADMIM as in-kind should be the same as </w:t>
      </w:r>
      <w:r w:rsidR="001A43FD" w:rsidRPr="000272B1">
        <w:t xml:space="preserve">those </w:t>
      </w:r>
      <w:r w:rsidR="008D3D2E" w:rsidRPr="000272B1">
        <w:t xml:space="preserve">provided to </w:t>
      </w:r>
      <w:r w:rsidR="000E368B" w:rsidRPr="000272B1">
        <w:t>commercial</w:t>
      </w:r>
      <w:r w:rsidR="008D3D2E" w:rsidRPr="000272B1">
        <w:t xml:space="preserve"> customers and </w:t>
      </w:r>
      <w:r w:rsidR="001A43FD" w:rsidRPr="000272B1">
        <w:t xml:space="preserve">should be submitted </w:t>
      </w:r>
      <w:r w:rsidR="008D3D2E" w:rsidRPr="000272B1">
        <w:t>to the Center</w:t>
      </w:r>
      <w:r w:rsidR="001A43FD" w:rsidRPr="000272B1">
        <w:t xml:space="preserve"> without undue delay</w:t>
      </w:r>
      <w:r w:rsidR="008D3D2E" w:rsidRPr="000272B1">
        <w:t>.</w:t>
      </w:r>
    </w:p>
    <w:p w14:paraId="6E829AD6" w14:textId="5B7C7893" w:rsidR="000724FD" w:rsidRPr="00CA3D49" w:rsidRDefault="000724FD" w:rsidP="00A24199">
      <w:pPr>
        <w:pStyle w:val="ColorfulList-Accent11"/>
        <w:numPr>
          <w:ilvl w:val="0"/>
          <w:numId w:val="4"/>
        </w:numPr>
      </w:pPr>
      <w:r w:rsidRPr="00A24199">
        <w:rPr>
          <w:rFonts w:eastAsia="Times New Roman"/>
          <w:bCs/>
          <w:szCs w:val="20"/>
        </w:rPr>
        <w:lastRenderedPageBreak/>
        <w:t xml:space="preserve">Association Members.  </w:t>
      </w:r>
      <w:r w:rsidR="00A24199">
        <w:t xml:space="preserve">An “Association Member” is defined as a professional or trade association that has joined and been accepted as a member of the Center by </w:t>
      </w:r>
      <w:r w:rsidR="00512FA9">
        <w:t>executing</w:t>
      </w:r>
      <w:r w:rsidR="00A24199">
        <w:t xml:space="preserve"> the CADMIM I/UCRC Membership Agreement for </w:t>
      </w:r>
      <w:r w:rsidR="008F2126">
        <w:t xml:space="preserve">Association </w:t>
      </w:r>
      <w:r w:rsidR="005B5B05">
        <w:t>Member</w:t>
      </w:r>
      <w:r w:rsidR="008F2126">
        <w:t>s</w:t>
      </w:r>
      <w:r w:rsidR="00A24199">
        <w:t xml:space="preserve"> </w:t>
      </w:r>
      <w:r w:rsidR="00512FA9">
        <w:t>and paying</w:t>
      </w:r>
      <w:r w:rsidR="00A24199">
        <w:t xml:space="preserve"> annual membership fees pursuant to said agreement. </w:t>
      </w:r>
      <w:r w:rsidR="00A24199" w:rsidRPr="00A573A4">
        <w:rPr>
          <w:rFonts w:eastAsia="Times New Roman"/>
          <w:bCs/>
          <w:szCs w:val="20"/>
          <w:u w:val="single"/>
        </w:rPr>
        <w:t>S</w:t>
      </w:r>
      <w:r w:rsidRPr="00A573A4">
        <w:rPr>
          <w:rFonts w:eastAsia="Times New Roman"/>
          <w:bCs/>
          <w:szCs w:val="20"/>
          <w:u w:val="single"/>
        </w:rPr>
        <w:t xml:space="preserve">uch membership </w:t>
      </w:r>
      <w:r w:rsidR="00A24199" w:rsidRPr="00A573A4">
        <w:rPr>
          <w:rFonts w:eastAsia="Times New Roman"/>
          <w:bCs/>
          <w:szCs w:val="20"/>
          <w:u w:val="single"/>
        </w:rPr>
        <w:t xml:space="preserve">provides rights to the Association, </w:t>
      </w:r>
      <w:r w:rsidR="00C822C0" w:rsidRPr="00A573A4">
        <w:rPr>
          <w:rFonts w:eastAsia="Times New Roman"/>
          <w:bCs/>
          <w:szCs w:val="20"/>
          <w:u w:val="single"/>
        </w:rPr>
        <w:t>which are non-transferrable to</w:t>
      </w:r>
      <w:r w:rsidR="00A24199" w:rsidRPr="00A573A4">
        <w:rPr>
          <w:rFonts w:eastAsia="Times New Roman"/>
          <w:bCs/>
          <w:szCs w:val="20"/>
          <w:u w:val="single"/>
        </w:rPr>
        <w:t xml:space="preserve"> Association</w:t>
      </w:r>
      <w:r w:rsidR="004D4327" w:rsidRPr="00A573A4">
        <w:rPr>
          <w:rFonts w:eastAsia="Times New Roman"/>
          <w:bCs/>
          <w:szCs w:val="20"/>
          <w:u w:val="single"/>
        </w:rPr>
        <w:t xml:space="preserve"> Member’s</w:t>
      </w:r>
      <w:r w:rsidR="00A24199" w:rsidRPr="00A573A4">
        <w:rPr>
          <w:rFonts w:eastAsia="Times New Roman"/>
          <w:bCs/>
          <w:szCs w:val="20"/>
          <w:u w:val="single"/>
        </w:rPr>
        <w:t xml:space="preserve"> individual members</w:t>
      </w:r>
      <w:r w:rsidR="00A24199">
        <w:rPr>
          <w:rFonts w:eastAsia="Times New Roman"/>
          <w:bCs/>
          <w:szCs w:val="20"/>
        </w:rPr>
        <w:t xml:space="preserve">. </w:t>
      </w:r>
      <w:r w:rsidR="00C07B26">
        <w:rPr>
          <w:rFonts w:eastAsia="Times New Roman"/>
          <w:bCs/>
          <w:szCs w:val="20"/>
        </w:rPr>
        <w:t xml:space="preserve">Participants from the Association include Association employees </w:t>
      </w:r>
      <w:r w:rsidR="00C07B26">
        <w:t>and/or Association board members affiliated with non-profit entities only.</w:t>
      </w:r>
    </w:p>
    <w:p w14:paraId="66E294E8" w14:textId="72742A1B" w:rsidR="00E344DA" w:rsidRDefault="00E344DA" w:rsidP="00E344DA">
      <w:pPr>
        <w:pStyle w:val="ColorfulList-Accent11"/>
        <w:numPr>
          <w:ilvl w:val="1"/>
          <w:numId w:val="4"/>
        </w:numPr>
      </w:pPr>
      <w:r>
        <w:rPr>
          <w:rFonts w:eastAsia="Times New Roman"/>
          <w:bCs/>
          <w:szCs w:val="20"/>
        </w:rPr>
        <w:t>Voting Rights</w:t>
      </w:r>
      <w:r w:rsidR="00512FA9">
        <w:rPr>
          <w:rFonts w:eastAsia="Times New Roman"/>
          <w:bCs/>
          <w:szCs w:val="20"/>
        </w:rPr>
        <w:t>.</w:t>
      </w:r>
      <w:r>
        <w:rPr>
          <w:rFonts w:eastAsia="Times New Roman"/>
          <w:bCs/>
          <w:szCs w:val="20"/>
        </w:rPr>
        <w:t xml:space="preserve">  </w:t>
      </w:r>
      <w:r>
        <w:t>Association Members shall pay a $</w:t>
      </w:r>
      <w:r w:rsidRPr="00A7478F">
        <w:t>50,000</w:t>
      </w:r>
      <w:r>
        <w:t xml:space="preserve"> membership fee per year in support of the Center</w:t>
      </w:r>
      <w:r w:rsidR="00D34AB8">
        <w:t xml:space="preserve"> and m</w:t>
      </w:r>
      <w:r>
        <w:t>embership fees will be used to support Center research. The Association</w:t>
      </w:r>
      <w:r w:rsidR="004D4327">
        <w:t xml:space="preserve"> Member</w:t>
      </w:r>
      <w:r w:rsidR="00D34AB8">
        <w:t xml:space="preserve"> is gra</w:t>
      </w:r>
      <w:r w:rsidR="00C822C0">
        <w:t>n</w:t>
      </w:r>
      <w:r w:rsidR="00D34AB8">
        <w:t xml:space="preserve">ted a sole </w:t>
      </w:r>
      <w:r>
        <w:t xml:space="preserve">seat on the IAB </w:t>
      </w:r>
      <w:r w:rsidR="00D34AB8">
        <w:t xml:space="preserve">with </w:t>
      </w:r>
      <w:r>
        <w:t>full voting power</w:t>
      </w:r>
      <w:r w:rsidR="00D34AB8">
        <w:t xml:space="preserve"> for directing research funds</w:t>
      </w:r>
      <w:r>
        <w:t xml:space="preserve"> (see Article 8).</w:t>
      </w:r>
    </w:p>
    <w:p w14:paraId="2026AC73" w14:textId="635F99D1" w:rsidR="00A24199" w:rsidRPr="00A24199" w:rsidRDefault="00512FA9" w:rsidP="00CA3D49">
      <w:pPr>
        <w:pStyle w:val="ColorfulList-Accent11"/>
        <w:numPr>
          <w:ilvl w:val="1"/>
          <w:numId w:val="4"/>
        </w:numPr>
      </w:pPr>
      <w:r>
        <w:t xml:space="preserve">Intellectual Property Rights.  </w:t>
      </w:r>
      <w:r w:rsidR="004D4327">
        <w:t xml:space="preserve">As non-commercial entities, </w:t>
      </w:r>
      <w:r>
        <w:t xml:space="preserve">Association Members </w:t>
      </w:r>
      <w:r w:rsidRPr="000272B1">
        <w:t>will have secondary access to Center-generated intellectual property</w:t>
      </w:r>
      <w:r w:rsidR="004D4327">
        <w:t xml:space="preserve"> which may be delegated to the Association Member’s individual members</w:t>
      </w:r>
      <w:r w:rsidRPr="000272B1">
        <w:t xml:space="preserve"> (see Article 14). </w:t>
      </w:r>
    </w:p>
    <w:p w14:paraId="49479EB4" w14:textId="512A7FC2" w:rsidR="00546D8B" w:rsidRPr="00617BA8" w:rsidRDefault="00F909DB" w:rsidP="00546D8B">
      <w:pPr>
        <w:pStyle w:val="ListParagraph"/>
        <w:numPr>
          <w:ilvl w:val="0"/>
          <w:numId w:val="4"/>
        </w:numPr>
        <w:spacing w:after="240" w:line="276" w:lineRule="auto"/>
        <w:rPr>
          <w:rFonts w:ascii="Arial" w:eastAsia="Times New Roman" w:hAnsi="Arial" w:cs="Arial"/>
          <w:bCs/>
          <w:sz w:val="20"/>
          <w:szCs w:val="20"/>
        </w:rPr>
      </w:pPr>
      <w:r w:rsidRPr="004A7BE9">
        <w:rPr>
          <w:rFonts w:ascii="Arial" w:hAnsi="Arial" w:cs="Arial"/>
          <w:sz w:val="20"/>
          <w:szCs w:val="20"/>
        </w:rPr>
        <w:t xml:space="preserve">The </w:t>
      </w:r>
      <w:r w:rsidR="00097F35" w:rsidRPr="004A7BE9">
        <w:rPr>
          <w:rFonts w:ascii="Arial" w:hAnsi="Arial" w:cs="Arial"/>
          <w:sz w:val="20"/>
          <w:szCs w:val="20"/>
        </w:rPr>
        <w:t xml:space="preserve">CADMIM I/UCRC Membership Agreement for </w:t>
      </w:r>
      <w:r w:rsidR="003302E2" w:rsidRPr="004A7BE9">
        <w:rPr>
          <w:rFonts w:ascii="Arial" w:hAnsi="Arial" w:cs="Arial"/>
          <w:sz w:val="20"/>
          <w:szCs w:val="20"/>
        </w:rPr>
        <w:t>Industr</w:t>
      </w:r>
      <w:r w:rsidR="003302E2">
        <w:rPr>
          <w:rFonts w:ascii="Arial" w:hAnsi="Arial" w:cs="Arial"/>
          <w:sz w:val="20"/>
          <w:szCs w:val="20"/>
        </w:rPr>
        <w:t>ial</w:t>
      </w:r>
      <w:r w:rsidR="008F2126">
        <w:rPr>
          <w:rFonts w:ascii="Arial" w:hAnsi="Arial" w:cs="Arial"/>
          <w:sz w:val="20"/>
          <w:szCs w:val="20"/>
        </w:rPr>
        <w:t>/Association</w:t>
      </w:r>
      <w:r w:rsidR="003302E2" w:rsidRPr="004A7BE9">
        <w:rPr>
          <w:rFonts w:ascii="Arial" w:hAnsi="Arial" w:cs="Arial"/>
          <w:sz w:val="20"/>
          <w:szCs w:val="20"/>
        </w:rPr>
        <w:t xml:space="preserve"> </w:t>
      </w:r>
      <w:r w:rsidR="005B5B05">
        <w:rPr>
          <w:rFonts w:ascii="Arial" w:hAnsi="Arial" w:cs="Arial"/>
          <w:sz w:val="20"/>
          <w:szCs w:val="20"/>
        </w:rPr>
        <w:t>Member</w:t>
      </w:r>
      <w:r w:rsidR="008F2126">
        <w:rPr>
          <w:rFonts w:ascii="Arial" w:hAnsi="Arial" w:cs="Arial"/>
          <w:sz w:val="20"/>
          <w:szCs w:val="20"/>
        </w:rPr>
        <w:t>s</w:t>
      </w:r>
      <w:r w:rsidR="008F2126" w:rsidRPr="004A7BE9" w:rsidDel="00097F35">
        <w:rPr>
          <w:rFonts w:ascii="Arial" w:hAnsi="Arial" w:cs="Arial"/>
          <w:sz w:val="20"/>
          <w:szCs w:val="20"/>
        </w:rPr>
        <w:t xml:space="preserve"> </w:t>
      </w:r>
      <w:r w:rsidRPr="004A7BE9">
        <w:rPr>
          <w:rFonts w:ascii="Arial" w:hAnsi="Arial" w:cs="Arial"/>
          <w:sz w:val="20"/>
          <w:szCs w:val="20"/>
        </w:rPr>
        <w:t xml:space="preserve">does </w:t>
      </w:r>
      <w:r>
        <w:rPr>
          <w:rFonts w:ascii="Arial" w:hAnsi="Arial" w:cs="Arial"/>
          <w:sz w:val="20"/>
          <w:szCs w:val="20"/>
        </w:rPr>
        <w:t xml:space="preserve">not cover the sharing of export restricted technology or data, controlled under the ITAR (International Traffic in Arms Regulations) or EAR (Export Administration Regulations). No export controlled information, items, or software should be exchanged </w:t>
      </w:r>
      <w:r w:rsidRPr="00617BA8">
        <w:rPr>
          <w:rFonts w:ascii="Arial" w:hAnsi="Arial" w:cs="Arial"/>
          <w:sz w:val="20"/>
          <w:szCs w:val="20"/>
        </w:rPr>
        <w:t>unless specified by a separate agreement.</w:t>
      </w:r>
    </w:p>
    <w:p w14:paraId="5BA02CF1" w14:textId="365EC770" w:rsidR="00546D8B" w:rsidRDefault="00546D8B" w:rsidP="00546D8B">
      <w:pPr>
        <w:pStyle w:val="ListParagraph"/>
        <w:numPr>
          <w:ilvl w:val="0"/>
          <w:numId w:val="4"/>
        </w:numPr>
        <w:spacing w:after="240" w:line="276" w:lineRule="auto"/>
        <w:rPr>
          <w:rFonts w:ascii="Arial" w:eastAsia="Times New Roman" w:hAnsi="Arial" w:cs="Arial"/>
          <w:bCs/>
          <w:sz w:val="20"/>
          <w:szCs w:val="20"/>
        </w:rPr>
      </w:pPr>
      <w:r w:rsidRPr="00617BA8">
        <w:rPr>
          <w:rFonts w:ascii="Arial" w:eastAsia="Times New Roman" w:hAnsi="Arial" w:cs="Arial"/>
          <w:bCs/>
          <w:sz w:val="20"/>
          <w:szCs w:val="20"/>
        </w:rPr>
        <w:t xml:space="preserve">Membership term: </w:t>
      </w:r>
      <w:r w:rsidR="00074F18">
        <w:rPr>
          <w:rFonts w:ascii="Arial" w:eastAsia="Times New Roman" w:hAnsi="Arial" w:cs="Arial"/>
          <w:bCs/>
          <w:sz w:val="20"/>
          <w:szCs w:val="20"/>
        </w:rPr>
        <w:t>M</w:t>
      </w:r>
      <w:r w:rsidR="003A1640" w:rsidRPr="00A23220">
        <w:rPr>
          <w:rFonts w:ascii="Arial" w:eastAsia="Times New Roman" w:hAnsi="Arial" w:cs="Arial"/>
          <w:bCs/>
          <w:sz w:val="20"/>
          <w:szCs w:val="20"/>
        </w:rPr>
        <w:t xml:space="preserve">embership in CADMIM is effective as of the Effective Date </w:t>
      </w:r>
      <w:r w:rsidR="00074F18" w:rsidRPr="00A23220">
        <w:rPr>
          <w:rFonts w:ascii="Arial" w:eastAsia="Times New Roman" w:hAnsi="Arial" w:cs="Arial"/>
          <w:bCs/>
          <w:sz w:val="20"/>
          <w:szCs w:val="20"/>
        </w:rPr>
        <w:t xml:space="preserve">on the </w:t>
      </w:r>
      <w:r w:rsidR="00074F18" w:rsidRPr="00A23220">
        <w:rPr>
          <w:rFonts w:ascii="Arial" w:hAnsi="Arial" w:cs="Arial"/>
          <w:sz w:val="20"/>
          <w:szCs w:val="20"/>
        </w:rPr>
        <w:t xml:space="preserve">CADMIM I/UCRC Membership Agreement for </w:t>
      </w:r>
      <w:r w:rsidR="008F2126">
        <w:rPr>
          <w:rFonts w:ascii="Arial" w:hAnsi="Arial" w:cs="Arial"/>
          <w:sz w:val="20"/>
          <w:szCs w:val="20"/>
        </w:rPr>
        <w:t xml:space="preserve">Industrial/Association </w:t>
      </w:r>
      <w:r w:rsidR="005B5B05">
        <w:rPr>
          <w:rFonts w:ascii="Arial" w:hAnsi="Arial" w:cs="Arial"/>
          <w:sz w:val="20"/>
          <w:szCs w:val="20"/>
        </w:rPr>
        <w:t>Member</w:t>
      </w:r>
      <w:r w:rsidR="008F2126">
        <w:rPr>
          <w:rFonts w:ascii="Arial" w:hAnsi="Arial" w:cs="Arial"/>
          <w:sz w:val="20"/>
          <w:szCs w:val="20"/>
        </w:rPr>
        <w:t xml:space="preserve">s </w:t>
      </w:r>
      <w:r w:rsidR="003A1640" w:rsidRPr="00A23220">
        <w:rPr>
          <w:rFonts w:ascii="Arial" w:eastAsia="Times New Roman" w:hAnsi="Arial" w:cs="Arial"/>
          <w:bCs/>
          <w:sz w:val="20"/>
          <w:szCs w:val="20"/>
        </w:rPr>
        <w:t xml:space="preserve">and </w:t>
      </w:r>
      <w:r w:rsidR="001A43FD">
        <w:rPr>
          <w:rFonts w:ascii="Arial" w:eastAsia="Times New Roman" w:hAnsi="Arial" w:cs="Arial"/>
          <w:bCs/>
          <w:sz w:val="20"/>
          <w:szCs w:val="20"/>
        </w:rPr>
        <w:t>continues for the remainder of the Center’s current five-year window</w:t>
      </w:r>
      <w:r w:rsidR="003A1640">
        <w:rPr>
          <w:rFonts w:ascii="Arial" w:eastAsia="Times New Roman" w:hAnsi="Arial" w:cs="Arial"/>
          <w:bCs/>
          <w:sz w:val="20"/>
          <w:szCs w:val="20"/>
        </w:rPr>
        <w:t>, unless terminated</w:t>
      </w:r>
      <w:r w:rsidR="009C0A26">
        <w:rPr>
          <w:rFonts w:ascii="Arial" w:eastAsia="Times New Roman" w:hAnsi="Arial" w:cs="Arial"/>
          <w:bCs/>
          <w:sz w:val="20"/>
          <w:szCs w:val="20"/>
        </w:rPr>
        <w:t xml:space="preserve"> earlier</w:t>
      </w:r>
      <w:r w:rsidR="001A43FD">
        <w:rPr>
          <w:rFonts w:ascii="Arial" w:eastAsia="Times New Roman" w:hAnsi="Arial" w:cs="Arial"/>
          <w:bCs/>
          <w:sz w:val="20"/>
          <w:szCs w:val="20"/>
        </w:rPr>
        <w:t xml:space="preserve"> by either party</w:t>
      </w:r>
      <w:r w:rsidR="003A1640">
        <w:rPr>
          <w:rFonts w:ascii="Arial" w:eastAsia="Times New Roman" w:hAnsi="Arial" w:cs="Arial"/>
          <w:bCs/>
          <w:sz w:val="20"/>
          <w:szCs w:val="20"/>
        </w:rPr>
        <w:t>.</w:t>
      </w:r>
    </w:p>
    <w:p w14:paraId="2AE8F351" w14:textId="36622FED" w:rsidR="003A1640" w:rsidRDefault="003A1640" w:rsidP="003A1640">
      <w:pPr>
        <w:pStyle w:val="ListParagraph"/>
        <w:numPr>
          <w:ilvl w:val="1"/>
          <w:numId w:val="4"/>
        </w:numPr>
        <w:spacing w:after="240" w:line="276" w:lineRule="auto"/>
        <w:rPr>
          <w:rFonts w:ascii="Arial" w:eastAsia="Times New Roman" w:hAnsi="Arial" w:cs="Arial"/>
          <w:bCs/>
          <w:sz w:val="20"/>
          <w:szCs w:val="20"/>
        </w:rPr>
      </w:pPr>
      <w:r>
        <w:rPr>
          <w:rFonts w:ascii="Arial" w:eastAsia="Times New Roman" w:hAnsi="Arial" w:cs="Arial"/>
          <w:bCs/>
          <w:sz w:val="20"/>
          <w:szCs w:val="20"/>
        </w:rPr>
        <w:t xml:space="preserve">The CADMIM annual </w:t>
      </w:r>
      <w:r w:rsidR="00ED0E99">
        <w:rPr>
          <w:rFonts w:ascii="Arial" w:eastAsia="Times New Roman" w:hAnsi="Arial" w:cs="Arial"/>
          <w:bCs/>
          <w:sz w:val="20"/>
          <w:szCs w:val="20"/>
        </w:rPr>
        <w:t xml:space="preserve">membership </w:t>
      </w:r>
      <w:r>
        <w:rPr>
          <w:rFonts w:ascii="Arial" w:eastAsia="Times New Roman" w:hAnsi="Arial" w:cs="Arial"/>
          <w:bCs/>
          <w:sz w:val="20"/>
          <w:szCs w:val="20"/>
        </w:rPr>
        <w:t xml:space="preserve">cycle is March 1 – February 28. Thus, the inaugural year of CADMIM </w:t>
      </w:r>
      <w:r w:rsidR="001A43FD">
        <w:rPr>
          <w:rFonts w:ascii="Arial" w:eastAsia="Times New Roman" w:hAnsi="Arial" w:cs="Arial"/>
          <w:bCs/>
          <w:sz w:val="20"/>
          <w:szCs w:val="20"/>
        </w:rPr>
        <w:t xml:space="preserve">was </w:t>
      </w:r>
      <w:r>
        <w:rPr>
          <w:rFonts w:ascii="Arial" w:eastAsia="Times New Roman" w:hAnsi="Arial" w:cs="Arial"/>
          <w:bCs/>
          <w:sz w:val="20"/>
          <w:szCs w:val="20"/>
        </w:rPr>
        <w:t xml:space="preserve">March 1, 2014 – February 28, 2015. For the purposes of membership synchronization, Year 1 membership in CADMIM for inaugural </w:t>
      </w:r>
      <w:r w:rsidR="001F0296">
        <w:rPr>
          <w:rFonts w:ascii="Arial" w:eastAsia="Times New Roman" w:hAnsi="Arial" w:cs="Arial"/>
          <w:bCs/>
          <w:sz w:val="20"/>
          <w:szCs w:val="20"/>
        </w:rPr>
        <w:t>IAB</w:t>
      </w:r>
      <w:r>
        <w:rPr>
          <w:rFonts w:ascii="Arial" w:eastAsia="Times New Roman" w:hAnsi="Arial" w:cs="Arial"/>
          <w:bCs/>
          <w:sz w:val="20"/>
          <w:szCs w:val="20"/>
        </w:rPr>
        <w:t xml:space="preserve"> Members </w:t>
      </w:r>
      <w:r w:rsidR="001A43FD">
        <w:rPr>
          <w:rFonts w:ascii="Arial" w:eastAsia="Times New Roman" w:hAnsi="Arial" w:cs="Arial"/>
          <w:bCs/>
          <w:sz w:val="20"/>
          <w:szCs w:val="20"/>
        </w:rPr>
        <w:t xml:space="preserve">began </w:t>
      </w:r>
      <w:r>
        <w:rPr>
          <w:rFonts w:ascii="Arial" w:eastAsia="Times New Roman" w:hAnsi="Arial" w:cs="Arial"/>
          <w:bCs/>
          <w:sz w:val="20"/>
          <w:szCs w:val="20"/>
        </w:rPr>
        <w:t xml:space="preserve">March 1, 2014 and will be </w:t>
      </w:r>
      <w:r w:rsidR="009C52C9">
        <w:rPr>
          <w:rFonts w:ascii="Arial" w:eastAsia="Times New Roman" w:hAnsi="Arial" w:cs="Arial"/>
          <w:bCs/>
          <w:sz w:val="20"/>
          <w:szCs w:val="20"/>
        </w:rPr>
        <w:t xml:space="preserve">automatically </w:t>
      </w:r>
      <w:r>
        <w:rPr>
          <w:rFonts w:ascii="Arial" w:eastAsia="Times New Roman" w:hAnsi="Arial" w:cs="Arial"/>
          <w:bCs/>
          <w:sz w:val="20"/>
          <w:szCs w:val="20"/>
        </w:rPr>
        <w:t>renewed on March 1 annually thereafter</w:t>
      </w:r>
      <w:r w:rsidR="009C52C9">
        <w:rPr>
          <w:rFonts w:ascii="Arial" w:eastAsia="Times New Roman" w:hAnsi="Arial" w:cs="Arial"/>
          <w:bCs/>
          <w:sz w:val="20"/>
          <w:szCs w:val="20"/>
        </w:rPr>
        <w:t>.</w:t>
      </w:r>
    </w:p>
    <w:p w14:paraId="45CB3521" w14:textId="4B6C47E2" w:rsidR="003A1640" w:rsidRDefault="00ED0E99" w:rsidP="003A1640">
      <w:pPr>
        <w:pStyle w:val="ListParagraph"/>
        <w:numPr>
          <w:ilvl w:val="1"/>
          <w:numId w:val="4"/>
        </w:numPr>
        <w:spacing w:after="240" w:line="276" w:lineRule="auto"/>
        <w:rPr>
          <w:rFonts w:ascii="Arial" w:eastAsia="Times New Roman" w:hAnsi="Arial" w:cs="Arial"/>
          <w:bCs/>
          <w:sz w:val="20"/>
          <w:szCs w:val="20"/>
        </w:rPr>
      </w:pPr>
      <w:r>
        <w:rPr>
          <w:rFonts w:ascii="Arial" w:eastAsia="Times New Roman" w:hAnsi="Arial" w:cs="Arial"/>
          <w:bCs/>
          <w:sz w:val="20"/>
          <w:szCs w:val="20"/>
        </w:rPr>
        <w:t>An</w:t>
      </w:r>
      <w:r w:rsidR="003A1640">
        <w:rPr>
          <w:rFonts w:ascii="Arial" w:eastAsia="Times New Roman" w:hAnsi="Arial" w:cs="Arial"/>
          <w:bCs/>
          <w:sz w:val="20"/>
          <w:szCs w:val="20"/>
        </w:rPr>
        <w:t xml:space="preserve"> </w:t>
      </w:r>
      <w:r w:rsidR="004969C0">
        <w:rPr>
          <w:rFonts w:ascii="Arial" w:eastAsia="Times New Roman" w:hAnsi="Arial" w:cs="Arial"/>
          <w:bCs/>
          <w:sz w:val="20"/>
          <w:szCs w:val="20"/>
        </w:rPr>
        <w:t xml:space="preserve">IAB </w:t>
      </w:r>
      <w:r w:rsidR="009C52C9">
        <w:rPr>
          <w:rFonts w:ascii="Arial" w:eastAsia="Times New Roman" w:hAnsi="Arial" w:cs="Arial"/>
          <w:bCs/>
          <w:sz w:val="20"/>
          <w:szCs w:val="20"/>
        </w:rPr>
        <w:t>M</w:t>
      </w:r>
      <w:r w:rsidR="003A1640">
        <w:rPr>
          <w:rFonts w:ascii="Arial" w:eastAsia="Times New Roman" w:hAnsi="Arial" w:cs="Arial"/>
          <w:bCs/>
          <w:sz w:val="20"/>
          <w:szCs w:val="20"/>
        </w:rPr>
        <w:t>ember</w:t>
      </w:r>
      <w:r w:rsidR="00FB5BE1">
        <w:rPr>
          <w:rFonts w:ascii="Arial" w:eastAsia="Times New Roman" w:hAnsi="Arial" w:cs="Arial"/>
          <w:bCs/>
          <w:sz w:val="20"/>
          <w:szCs w:val="20"/>
        </w:rPr>
        <w:t xml:space="preserve"> </w:t>
      </w:r>
      <w:r>
        <w:rPr>
          <w:rFonts w:ascii="Arial" w:eastAsia="Times New Roman" w:hAnsi="Arial" w:cs="Arial"/>
          <w:bCs/>
          <w:sz w:val="20"/>
          <w:szCs w:val="20"/>
        </w:rPr>
        <w:t>that</w:t>
      </w:r>
      <w:r w:rsidR="003A1640">
        <w:rPr>
          <w:rFonts w:ascii="Arial" w:eastAsia="Times New Roman" w:hAnsi="Arial" w:cs="Arial"/>
          <w:bCs/>
          <w:sz w:val="20"/>
          <w:szCs w:val="20"/>
        </w:rPr>
        <w:t xml:space="preserve"> joins the Center mid-cycle</w:t>
      </w:r>
      <w:r>
        <w:rPr>
          <w:rFonts w:ascii="Arial" w:eastAsia="Times New Roman" w:hAnsi="Arial" w:cs="Arial"/>
          <w:bCs/>
          <w:sz w:val="20"/>
          <w:szCs w:val="20"/>
        </w:rPr>
        <w:t xml:space="preserve"> </w:t>
      </w:r>
      <w:r w:rsidR="000F7575">
        <w:rPr>
          <w:rFonts w:ascii="Arial" w:eastAsia="Times New Roman" w:hAnsi="Arial" w:cs="Arial"/>
          <w:bCs/>
          <w:sz w:val="20"/>
          <w:szCs w:val="20"/>
        </w:rPr>
        <w:t>will have a pro-rated amount of their first year membership applied to their second year membership fees, and their year 2 invoice will be reduced accordingly. The first year membership fee will</w:t>
      </w:r>
      <w:r>
        <w:rPr>
          <w:rFonts w:ascii="Arial" w:eastAsia="Times New Roman" w:hAnsi="Arial" w:cs="Arial"/>
          <w:bCs/>
          <w:sz w:val="20"/>
          <w:szCs w:val="20"/>
        </w:rPr>
        <w:t xml:space="preserve"> be allocated according to Article </w:t>
      </w:r>
      <w:r w:rsidR="00AB160B">
        <w:rPr>
          <w:rFonts w:ascii="Arial" w:eastAsia="Times New Roman" w:hAnsi="Arial" w:cs="Arial"/>
          <w:bCs/>
          <w:sz w:val="20"/>
          <w:szCs w:val="20"/>
        </w:rPr>
        <w:t>10</w:t>
      </w:r>
      <w:r>
        <w:rPr>
          <w:rFonts w:ascii="Arial" w:eastAsia="Times New Roman" w:hAnsi="Arial" w:cs="Arial"/>
          <w:bCs/>
          <w:sz w:val="20"/>
          <w:szCs w:val="20"/>
        </w:rPr>
        <w:t xml:space="preserve">, Item </w:t>
      </w:r>
      <w:r w:rsidR="0071117B">
        <w:rPr>
          <w:rFonts w:ascii="Arial" w:eastAsia="Times New Roman" w:hAnsi="Arial" w:cs="Arial"/>
          <w:bCs/>
          <w:sz w:val="20"/>
          <w:szCs w:val="20"/>
        </w:rPr>
        <w:t>4</w:t>
      </w:r>
      <w:r>
        <w:rPr>
          <w:rFonts w:ascii="Arial" w:eastAsia="Times New Roman" w:hAnsi="Arial" w:cs="Arial"/>
          <w:bCs/>
          <w:sz w:val="20"/>
          <w:szCs w:val="20"/>
        </w:rPr>
        <w:t>.</w:t>
      </w:r>
      <w:r w:rsidR="00192CA4">
        <w:rPr>
          <w:rFonts w:ascii="Arial" w:eastAsia="Times New Roman" w:hAnsi="Arial" w:cs="Arial"/>
          <w:bCs/>
          <w:sz w:val="20"/>
          <w:szCs w:val="20"/>
        </w:rPr>
        <w:t xml:space="preserve"> Access to resulting</w:t>
      </w:r>
      <w:r w:rsidR="00164870">
        <w:rPr>
          <w:rFonts w:ascii="Arial" w:eastAsia="Times New Roman" w:hAnsi="Arial" w:cs="Arial"/>
          <w:bCs/>
          <w:sz w:val="20"/>
          <w:szCs w:val="20"/>
        </w:rPr>
        <w:t xml:space="preserve"> intellectual property</w:t>
      </w:r>
      <w:r w:rsidR="00192CA4">
        <w:rPr>
          <w:rFonts w:ascii="Arial" w:eastAsia="Times New Roman" w:hAnsi="Arial" w:cs="Arial"/>
          <w:bCs/>
          <w:sz w:val="20"/>
          <w:szCs w:val="20"/>
        </w:rPr>
        <w:t xml:space="preserve"> for Industrial Members that join mid-cycle is detailed in </w:t>
      </w:r>
      <w:r w:rsidR="00164870">
        <w:rPr>
          <w:rFonts w:ascii="Arial" w:eastAsia="Times New Roman" w:hAnsi="Arial" w:cs="Arial"/>
          <w:bCs/>
          <w:sz w:val="20"/>
          <w:szCs w:val="20"/>
        </w:rPr>
        <w:t xml:space="preserve">Article </w:t>
      </w:r>
      <w:r w:rsidR="00212808">
        <w:rPr>
          <w:rFonts w:ascii="Arial" w:eastAsia="Times New Roman" w:hAnsi="Arial" w:cs="Arial"/>
          <w:bCs/>
          <w:sz w:val="20"/>
          <w:szCs w:val="20"/>
        </w:rPr>
        <w:t>14</w:t>
      </w:r>
      <w:r w:rsidR="00164870">
        <w:rPr>
          <w:rFonts w:ascii="Arial" w:eastAsia="Times New Roman" w:hAnsi="Arial" w:cs="Arial"/>
          <w:bCs/>
          <w:sz w:val="20"/>
          <w:szCs w:val="20"/>
        </w:rPr>
        <w:t xml:space="preserve">, section </w:t>
      </w:r>
      <w:r w:rsidR="0086106C">
        <w:rPr>
          <w:rFonts w:ascii="Arial" w:eastAsia="Times New Roman" w:hAnsi="Arial" w:cs="Arial"/>
          <w:bCs/>
          <w:sz w:val="20"/>
          <w:szCs w:val="20"/>
        </w:rPr>
        <w:t>1f</w:t>
      </w:r>
      <w:r w:rsidR="00192CA4">
        <w:rPr>
          <w:rFonts w:ascii="Arial" w:eastAsia="Times New Roman" w:hAnsi="Arial" w:cs="Arial"/>
          <w:bCs/>
          <w:sz w:val="20"/>
          <w:szCs w:val="20"/>
        </w:rPr>
        <w:t xml:space="preserve">. </w:t>
      </w:r>
    </w:p>
    <w:p w14:paraId="1FC21080" w14:textId="77777777" w:rsidR="00892655" w:rsidRDefault="00892655" w:rsidP="00892655">
      <w:pPr>
        <w:pStyle w:val="Heading1"/>
      </w:pPr>
      <w:r>
        <w:t>Article 4:</w:t>
      </w:r>
      <w:r>
        <w:tab/>
        <w:t>Organization</w:t>
      </w:r>
    </w:p>
    <w:p w14:paraId="72FFCC59" w14:textId="77777777" w:rsidR="00892655" w:rsidRDefault="00892655" w:rsidP="007C25A6">
      <w:pPr>
        <w:pStyle w:val="ColorfulList-Accent11"/>
        <w:numPr>
          <w:ilvl w:val="0"/>
          <w:numId w:val="5"/>
        </w:numPr>
        <w:spacing w:after="120"/>
      </w:pPr>
      <w:r>
        <w:t xml:space="preserve">The Center shall be governed by: </w:t>
      </w:r>
    </w:p>
    <w:p w14:paraId="5A4F67F8" w14:textId="77777777" w:rsidR="00892655" w:rsidRDefault="00892655" w:rsidP="007C25A6">
      <w:pPr>
        <w:pStyle w:val="ColorfulList-Accent11"/>
        <w:numPr>
          <w:ilvl w:val="1"/>
          <w:numId w:val="5"/>
        </w:numPr>
        <w:spacing w:after="120"/>
      </w:pPr>
      <w:r>
        <w:t>University Policy Committee</w:t>
      </w:r>
    </w:p>
    <w:p w14:paraId="335475D4" w14:textId="77777777" w:rsidR="00892655" w:rsidRDefault="00892655" w:rsidP="007C25A6">
      <w:pPr>
        <w:pStyle w:val="ColorfulList-Accent11"/>
        <w:numPr>
          <w:ilvl w:val="1"/>
          <w:numId w:val="5"/>
        </w:numPr>
        <w:spacing w:after="120"/>
      </w:pPr>
      <w:r>
        <w:t>Industrial Advisory Board</w:t>
      </w:r>
      <w:r w:rsidR="008C1BDA">
        <w:t xml:space="preserve"> (“IAB”)</w:t>
      </w:r>
    </w:p>
    <w:p w14:paraId="4A390C99" w14:textId="77777777" w:rsidR="008C1BDA" w:rsidRDefault="00892655" w:rsidP="007C25A6">
      <w:pPr>
        <w:pStyle w:val="ColorfulList-Accent11"/>
        <w:numPr>
          <w:ilvl w:val="1"/>
          <w:numId w:val="5"/>
        </w:numPr>
        <w:spacing w:after="120"/>
      </w:pPr>
      <w:r>
        <w:t>Center Director</w:t>
      </w:r>
      <w:r w:rsidR="008C1BDA">
        <w:t xml:space="preserve"> and Center Co-Director</w:t>
      </w:r>
    </w:p>
    <w:p w14:paraId="09A52779" w14:textId="77777777" w:rsidR="00892655" w:rsidRDefault="00892655" w:rsidP="00892655">
      <w:pPr>
        <w:pStyle w:val="ColorfulList-Accent11"/>
        <w:numPr>
          <w:ilvl w:val="1"/>
          <w:numId w:val="5"/>
        </w:numPr>
      </w:pPr>
      <w:r>
        <w:t>Site Director(s)</w:t>
      </w:r>
    </w:p>
    <w:p w14:paraId="1FE7F0ED" w14:textId="667425F1" w:rsidR="00892655" w:rsidRDefault="00892655" w:rsidP="00892655">
      <w:pPr>
        <w:pStyle w:val="ColorfulList-Accent11"/>
        <w:numPr>
          <w:ilvl w:val="0"/>
          <w:numId w:val="5"/>
        </w:numPr>
      </w:pPr>
      <w:r w:rsidRPr="00800A85">
        <w:rPr>
          <w:u w:val="single"/>
        </w:rPr>
        <w:t>University Policy Committee</w:t>
      </w:r>
      <w:r>
        <w:t xml:space="preserve">. The Center will form an ad-hoc multi-university administrative oversight and policy committee consisting of the Vice President or Provost of Research (or </w:t>
      </w:r>
      <w:r w:rsidR="00195A08">
        <w:t>their</w:t>
      </w:r>
      <w:r>
        <w:t xml:space="preserve"> </w:t>
      </w:r>
      <w:r>
        <w:lastRenderedPageBreak/>
        <w:t xml:space="preserve">designee) at each </w:t>
      </w:r>
      <w:r w:rsidR="00F37AA3">
        <w:t xml:space="preserve">Academic Member </w:t>
      </w:r>
      <w:r w:rsidR="008E2C2F">
        <w:t xml:space="preserve">institution for the purpose of </w:t>
      </w:r>
      <w:r>
        <w:t>resolv</w:t>
      </w:r>
      <w:r w:rsidR="008E2C2F">
        <w:t>ing</w:t>
      </w:r>
      <w:r>
        <w:t xml:space="preserve"> any and all Center administrative issues such as reviewing academic standards, funding issues, space requirements, equipment requirements, etc. related to the Center. </w:t>
      </w:r>
      <w:r w:rsidR="002C38EE">
        <w:t xml:space="preserve">Also included on this committee are Industry Contract Officers </w:t>
      </w:r>
      <w:r w:rsidR="00AD4B5F">
        <w:t xml:space="preserve">and Licensing Officers </w:t>
      </w:r>
      <w:r w:rsidR="002C38EE">
        <w:t xml:space="preserve">at each Academic Member to provide guidance and resolve any issues with membership, intellectual property, </w:t>
      </w:r>
      <w:r w:rsidR="00AD4B5F">
        <w:t xml:space="preserve">access to </w:t>
      </w:r>
      <w:r w:rsidR="002C38EE">
        <w:t>inventions, etc. related to the Center. This</w:t>
      </w:r>
      <w:r>
        <w:t xml:space="preserve"> committee </w:t>
      </w:r>
      <w:r w:rsidR="002C38EE">
        <w:t xml:space="preserve">will </w:t>
      </w:r>
      <w:r>
        <w:t>ensure faculty recognition for participation in the Center in tenure and promotion decisions and to ensure that the research is appropriate for graduate education. The committee would be convened</w:t>
      </w:r>
      <w:r w:rsidR="00701F56">
        <w:t xml:space="preserve">, or select members contacted, </w:t>
      </w:r>
      <w:r>
        <w:t xml:space="preserve">at the request of the </w:t>
      </w:r>
      <w:r w:rsidR="00873C83">
        <w:t xml:space="preserve">Center </w:t>
      </w:r>
      <w:r>
        <w:t>Director to resolve issues as necessary.</w:t>
      </w:r>
    </w:p>
    <w:p w14:paraId="20126EC5" w14:textId="23D7A0E3" w:rsidR="00892655" w:rsidRDefault="00892655" w:rsidP="00892655">
      <w:pPr>
        <w:pStyle w:val="ColorfulList-Accent11"/>
        <w:numPr>
          <w:ilvl w:val="0"/>
          <w:numId w:val="5"/>
        </w:numPr>
      </w:pPr>
      <w:r w:rsidRPr="00AA4F49">
        <w:rPr>
          <w:u w:val="single"/>
        </w:rPr>
        <w:t>Industrial Advisory Board</w:t>
      </w:r>
      <w:r>
        <w:t>. The Industrial Advisory Board (“IAB”) shall refer to a board comprised of one representative appointed by each Industrial Member</w:t>
      </w:r>
      <w:r w:rsidR="00CA4BB5">
        <w:t xml:space="preserve"> and each Association Member</w:t>
      </w:r>
      <w:r>
        <w:t xml:space="preserve">. An organization may </w:t>
      </w:r>
      <w:r w:rsidR="00F37AA3">
        <w:t xml:space="preserve">purchase </w:t>
      </w:r>
      <w:r w:rsidR="00C10F10">
        <w:t xml:space="preserve">additional </w:t>
      </w:r>
      <w:r>
        <w:t xml:space="preserve">Center Membership </w:t>
      </w:r>
      <w:r w:rsidR="00F37AA3">
        <w:t xml:space="preserve">in a given year </w:t>
      </w:r>
      <w:r>
        <w:t xml:space="preserve">and will be entitled </w:t>
      </w:r>
      <w:r w:rsidR="00F37AA3">
        <w:t xml:space="preserve">to have </w:t>
      </w:r>
      <w:r w:rsidR="00992951">
        <w:t xml:space="preserve">one </w:t>
      </w:r>
      <w:r w:rsidR="00C10F10">
        <w:t xml:space="preserve">additional </w:t>
      </w:r>
      <w:r w:rsidR="00992951">
        <w:t>voting representative on the IAB</w:t>
      </w:r>
      <w:r>
        <w:t xml:space="preserve">. The </w:t>
      </w:r>
      <w:r w:rsidR="008C1BDA">
        <w:t>IAB</w:t>
      </w:r>
      <w:r>
        <w:t xml:space="preserve"> will meet as needed to fulfill its responsibilities hereunder.</w:t>
      </w:r>
    </w:p>
    <w:p w14:paraId="7E3037A8" w14:textId="5A3738AD" w:rsidR="00892655" w:rsidRDefault="00892655" w:rsidP="00892655">
      <w:pPr>
        <w:pStyle w:val="ColorfulList-Accent11"/>
        <w:numPr>
          <w:ilvl w:val="1"/>
          <w:numId w:val="5"/>
        </w:numPr>
      </w:pPr>
      <w:r>
        <w:t xml:space="preserve">There is only one </w:t>
      </w:r>
      <w:r w:rsidR="00853003">
        <w:t>IAB</w:t>
      </w:r>
      <w:r>
        <w:t xml:space="preserve"> for the Center. </w:t>
      </w:r>
      <w:r w:rsidR="00F37AA3">
        <w:t>Academic Members are not part of the IAB.</w:t>
      </w:r>
    </w:p>
    <w:p w14:paraId="1AD41BCC" w14:textId="6D198C18" w:rsidR="004E4A7D" w:rsidRPr="002F67EC" w:rsidRDefault="00853003" w:rsidP="004E4A7D">
      <w:pPr>
        <w:pStyle w:val="ColorfulList-Accent11"/>
        <w:numPr>
          <w:ilvl w:val="1"/>
          <w:numId w:val="5"/>
        </w:numPr>
        <w:rPr>
          <w:szCs w:val="20"/>
        </w:rPr>
      </w:pPr>
      <w:r>
        <w:rPr>
          <w:szCs w:val="20"/>
        </w:rPr>
        <w:t>IAB</w:t>
      </w:r>
      <w:r w:rsidR="00C2710F" w:rsidRPr="00A23220">
        <w:rPr>
          <w:szCs w:val="20"/>
        </w:rPr>
        <w:t xml:space="preserve"> Leadership: </w:t>
      </w:r>
      <w:r w:rsidR="00892655" w:rsidRPr="004E4A7D">
        <w:rPr>
          <w:szCs w:val="20"/>
        </w:rPr>
        <w:t xml:space="preserve">The </w:t>
      </w:r>
      <w:r>
        <w:rPr>
          <w:szCs w:val="20"/>
        </w:rPr>
        <w:t>IAB</w:t>
      </w:r>
      <w:r w:rsidR="00892655" w:rsidRPr="004E4A7D">
        <w:rPr>
          <w:szCs w:val="20"/>
        </w:rPr>
        <w:t xml:space="preserve"> is led by </w:t>
      </w:r>
      <w:r w:rsidR="004E4A7D" w:rsidRPr="002F67EC">
        <w:rPr>
          <w:szCs w:val="20"/>
        </w:rPr>
        <w:t xml:space="preserve">the </w:t>
      </w:r>
      <w:r w:rsidR="00892655" w:rsidRPr="002F67EC">
        <w:rPr>
          <w:szCs w:val="20"/>
        </w:rPr>
        <w:t xml:space="preserve">elected </w:t>
      </w:r>
      <w:r>
        <w:rPr>
          <w:szCs w:val="20"/>
        </w:rPr>
        <w:t>IAB</w:t>
      </w:r>
      <w:r w:rsidR="00892655" w:rsidRPr="002F67EC">
        <w:rPr>
          <w:szCs w:val="20"/>
        </w:rPr>
        <w:t xml:space="preserve"> Chair</w:t>
      </w:r>
      <w:r w:rsidR="00140CCC" w:rsidRPr="002F67EC">
        <w:rPr>
          <w:szCs w:val="20"/>
        </w:rPr>
        <w:t xml:space="preserve"> and </w:t>
      </w:r>
      <w:r w:rsidR="004E4A7D" w:rsidRPr="002F67EC">
        <w:rPr>
          <w:szCs w:val="20"/>
        </w:rPr>
        <w:t xml:space="preserve">Vice </w:t>
      </w:r>
      <w:r w:rsidR="00140CCC" w:rsidRPr="002F67EC">
        <w:rPr>
          <w:szCs w:val="20"/>
        </w:rPr>
        <w:t>Chair</w:t>
      </w:r>
      <w:r w:rsidR="00892655" w:rsidRPr="002F67EC">
        <w:rPr>
          <w:szCs w:val="20"/>
        </w:rPr>
        <w:t xml:space="preserve">. The </w:t>
      </w:r>
      <w:r w:rsidR="00C2710F">
        <w:rPr>
          <w:szCs w:val="20"/>
        </w:rPr>
        <w:t xml:space="preserve">inaugural </w:t>
      </w:r>
      <w:r>
        <w:rPr>
          <w:szCs w:val="20"/>
        </w:rPr>
        <w:t>IAB</w:t>
      </w:r>
      <w:r w:rsidR="00892655" w:rsidRPr="002F67EC">
        <w:rPr>
          <w:szCs w:val="20"/>
        </w:rPr>
        <w:t xml:space="preserve"> select</w:t>
      </w:r>
      <w:r w:rsidR="00C2710F">
        <w:rPr>
          <w:szCs w:val="20"/>
        </w:rPr>
        <w:t>ed</w:t>
      </w:r>
      <w:r w:rsidR="00892655" w:rsidRPr="002F67EC">
        <w:rPr>
          <w:szCs w:val="20"/>
        </w:rPr>
        <w:t xml:space="preserve"> an </w:t>
      </w:r>
      <w:r>
        <w:rPr>
          <w:szCs w:val="20"/>
        </w:rPr>
        <w:t>IAB</w:t>
      </w:r>
      <w:r w:rsidR="00892655" w:rsidRPr="002F67EC">
        <w:rPr>
          <w:szCs w:val="20"/>
        </w:rPr>
        <w:t xml:space="preserve"> Chair</w:t>
      </w:r>
      <w:r w:rsidR="004E4A7D">
        <w:rPr>
          <w:szCs w:val="20"/>
        </w:rPr>
        <w:t xml:space="preserve"> and Vice Chair</w:t>
      </w:r>
      <w:r w:rsidR="00892655" w:rsidRPr="002F67EC">
        <w:rPr>
          <w:szCs w:val="20"/>
        </w:rPr>
        <w:t xml:space="preserve"> for a one (1)-year term at the </w:t>
      </w:r>
      <w:r w:rsidR="00C2710F">
        <w:rPr>
          <w:szCs w:val="20"/>
        </w:rPr>
        <w:t>first</w:t>
      </w:r>
      <w:r w:rsidR="00C2710F" w:rsidRPr="002F67EC">
        <w:rPr>
          <w:szCs w:val="20"/>
        </w:rPr>
        <w:t xml:space="preserve"> </w:t>
      </w:r>
      <w:r>
        <w:rPr>
          <w:szCs w:val="20"/>
        </w:rPr>
        <w:t>IAB</w:t>
      </w:r>
      <w:r w:rsidR="00892655" w:rsidRPr="002F67EC">
        <w:rPr>
          <w:szCs w:val="20"/>
        </w:rPr>
        <w:t xml:space="preserve"> meeting on April 10, 2014</w:t>
      </w:r>
      <w:r w:rsidR="00C2710F">
        <w:rPr>
          <w:szCs w:val="20"/>
        </w:rPr>
        <w:t>. The elected Vice Chair will serve as Chair the following year</w:t>
      </w:r>
      <w:r w:rsidR="00610D09">
        <w:rPr>
          <w:szCs w:val="20"/>
        </w:rPr>
        <w:t>,</w:t>
      </w:r>
      <w:r w:rsidR="00C2710F">
        <w:rPr>
          <w:szCs w:val="20"/>
        </w:rPr>
        <w:t xml:space="preserve"> and the IAB </w:t>
      </w:r>
      <w:r w:rsidR="008C1BDA" w:rsidRPr="002F67EC">
        <w:rPr>
          <w:szCs w:val="20"/>
        </w:rPr>
        <w:t xml:space="preserve">will </w:t>
      </w:r>
      <w:r w:rsidR="00610D09">
        <w:rPr>
          <w:szCs w:val="20"/>
        </w:rPr>
        <w:t>elect</w:t>
      </w:r>
      <w:r w:rsidR="00610D09" w:rsidRPr="002F67EC">
        <w:rPr>
          <w:szCs w:val="20"/>
        </w:rPr>
        <w:t xml:space="preserve"> </w:t>
      </w:r>
      <w:r w:rsidR="008C1BDA" w:rsidRPr="002F67EC">
        <w:rPr>
          <w:szCs w:val="20"/>
        </w:rPr>
        <w:t xml:space="preserve">a new </w:t>
      </w:r>
      <w:r w:rsidR="004E4A7D">
        <w:rPr>
          <w:szCs w:val="20"/>
        </w:rPr>
        <w:t xml:space="preserve">Vice Chair </w:t>
      </w:r>
      <w:r w:rsidR="00892655" w:rsidRPr="002F67EC">
        <w:rPr>
          <w:szCs w:val="20"/>
        </w:rPr>
        <w:t xml:space="preserve">no less than every one (1) year thereafter. The </w:t>
      </w:r>
      <w:r w:rsidR="004E4A7D" w:rsidRPr="002F67EC">
        <w:rPr>
          <w:szCs w:val="20"/>
        </w:rPr>
        <w:t>IAB</w:t>
      </w:r>
      <w:r w:rsidR="00892655" w:rsidRPr="002F67EC">
        <w:rPr>
          <w:szCs w:val="20"/>
        </w:rPr>
        <w:t xml:space="preserve"> Chair</w:t>
      </w:r>
      <w:r w:rsidR="004E4A7D" w:rsidRPr="002F67EC">
        <w:rPr>
          <w:szCs w:val="20"/>
        </w:rPr>
        <w:t xml:space="preserve"> sets the agenda and conducts the business meetings of the IAB, acts as a spokesperson for the IAB, and represents </w:t>
      </w:r>
      <w:r w:rsidR="004E4A7D">
        <w:rPr>
          <w:szCs w:val="20"/>
        </w:rPr>
        <w:t>CADMIM</w:t>
      </w:r>
      <w:r w:rsidR="004E4A7D" w:rsidRPr="002F67EC">
        <w:rPr>
          <w:szCs w:val="20"/>
        </w:rPr>
        <w:t xml:space="preserve"> outside of the organization when appropriate. The Vice Chair works at the Chair’s direction. Should the Chair resign, the Vice Chair becomes Chair </w:t>
      </w:r>
      <w:r w:rsidR="00610D09">
        <w:rPr>
          <w:szCs w:val="20"/>
        </w:rPr>
        <w:t>and an interim Vice-Chair is elected. At</w:t>
      </w:r>
      <w:r w:rsidR="00610D09" w:rsidRPr="002F67EC">
        <w:rPr>
          <w:szCs w:val="20"/>
        </w:rPr>
        <w:t xml:space="preserve"> </w:t>
      </w:r>
      <w:r w:rsidR="004E4A7D" w:rsidRPr="002F67EC">
        <w:rPr>
          <w:szCs w:val="20"/>
        </w:rPr>
        <w:t>the next regularly scheduled election</w:t>
      </w:r>
      <w:r w:rsidR="00610D09">
        <w:rPr>
          <w:szCs w:val="20"/>
        </w:rPr>
        <w:t xml:space="preserve">, both the Chair and Vice-Chair may be re-elected for the following year. </w:t>
      </w:r>
    </w:p>
    <w:p w14:paraId="563B2D03" w14:textId="7CA0B52F" w:rsidR="00335921" w:rsidRPr="002F67EC" w:rsidRDefault="004E4A7D" w:rsidP="00892655">
      <w:pPr>
        <w:pStyle w:val="ColorfulList-Accent11"/>
        <w:numPr>
          <w:ilvl w:val="1"/>
          <w:numId w:val="5"/>
        </w:numPr>
        <w:rPr>
          <w:szCs w:val="20"/>
        </w:rPr>
      </w:pPr>
      <w:r w:rsidRPr="002F67EC">
        <w:rPr>
          <w:szCs w:val="20"/>
        </w:rPr>
        <w:t xml:space="preserve">Each </w:t>
      </w:r>
      <w:r w:rsidR="00283304">
        <w:rPr>
          <w:szCs w:val="20"/>
        </w:rPr>
        <w:t>IAB Member</w:t>
      </w:r>
      <w:r w:rsidRPr="002F67EC">
        <w:rPr>
          <w:szCs w:val="20"/>
        </w:rPr>
        <w:t xml:space="preserve"> designates a liaison who </w:t>
      </w:r>
      <w:r w:rsidR="008E2C2F">
        <w:rPr>
          <w:szCs w:val="20"/>
        </w:rPr>
        <w:t>facilitates communication</w:t>
      </w:r>
      <w:r w:rsidRPr="002F67EC">
        <w:rPr>
          <w:szCs w:val="20"/>
        </w:rPr>
        <w:t xml:space="preserve"> between CADMIM and the </w:t>
      </w:r>
      <w:r w:rsidR="00853003">
        <w:rPr>
          <w:szCs w:val="20"/>
        </w:rPr>
        <w:t>M</w:t>
      </w:r>
      <w:r w:rsidRPr="002F67EC">
        <w:rPr>
          <w:szCs w:val="20"/>
        </w:rPr>
        <w:t>ember</w:t>
      </w:r>
      <w:r w:rsidR="008E2C2F">
        <w:rPr>
          <w:szCs w:val="20"/>
        </w:rPr>
        <w:t xml:space="preserve"> and serves as </w:t>
      </w:r>
      <w:r w:rsidR="00335921" w:rsidRPr="002F67EC">
        <w:rPr>
          <w:szCs w:val="20"/>
        </w:rPr>
        <w:t xml:space="preserve">that </w:t>
      </w:r>
      <w:r w:rsidR="001F0296">
        <w:rPr>
          <w:szCs w:val="20"/>
        </w:rPr>
        <w:t>M</w:t>
      </w:r>
      <w:r w:rsidR="001F0296" w:rsidRPr="002F67EC">
        <w:rPr>
          <w:szCs w:val="20"/>
        </w:rPr>
        <w:t xml:space="preserve">ember’s </w:t>
      </w:r>
      <w:r w:rsidR="00335921" w:rsidRPr="002F67EC">
        <w:rPr>
          <w:szCs w:val="20"/>
        </w:rPr>
        <w:t xml:space="preserve">primary representative at IAB meetings. In the event that the liaison is unable to attend, the liaison (or an official of the member organization) designates by proxy another individual to serve as the representative. The proxy is provided to the </w:t>
      </w:r>
      <w:r w:rsidR="001A43FD">
        <w:rPr>
          <w:szCs w:val="20"/>
        </w:rPr>
        <w:t xml:space="preserve">Center </w:t>
      </w:r>
      <w:r w:rsidR="00335921" w:rsidRPr="001A43FD">
        <w:rPr>
          <w:szCs w:val="20"/>
        </w:rPr>
        <w:t>Director</w:t>
      </w:r>
      <w:r w:rsidR="00335921" w:rsidRPr="002F67EC">
        <w:rPr>
          <w:szCs w:val="20"/>
        </w:rPr>
        <w:t xml:space="preserve"> in advance of the meeting. The designated individual may be from the member organization, from another </w:t>
      </w:r>
      <w:r w:rsidR="001F0296">
        <w:rPr>
          <w:szCs w:val="20"/>
        </w:rPr>
        <w:t>IAB Member</w:t>
      </w:r>
      <w:r w:rsidR="00335921" w:rsidRPr="002F67EC">
        <w:rPr>
          <w:szCs w:val="20"/>
        </w:rPr>
        <w:t xml:space="preserve">, or the </w:t>
      </w:r>
      <w:r w:rsidR="001A43FD">
        <w:rPr>
          <w:szCs w:val="20"/>
        </w:rPr>
        <w:t xml:space="preserve">Center </w:t>
      </w:r>
      <w:r w:rsidR="00335921" w:rsidRPr="002F67EC">
        <w:rPr>
          <w:szCs w:val="20"/>
        </w:rPr>
        <w:t xml:space="preserve">Director. A proxy is assumed </w:t>
      </w:r>
      <w:r w:rsidR="009C0A26">
        <w:rPr>
          <w:szCs w:val="20"/>
        </w:rPr>
        <w:t>to be</w:t>
      </w:r>
      <w:r w:rsidR="009C0A26" w:rsidRPr="002F67EC">
        <w:rPr>
          <w:szCs w:val="20"/>
        </w:rPr>
        <w:t xml:space="preserve"> </w:t>
      </w:r>
      <w:r w:rsidR="00335921" w:rsidRPr="002F67EC">
        <w:rPr>
          <w:szCs w:val="20"/>
        </w:rPr>
        <w:t>another person from the same organization unless a proxy is submitted in writing by the organization.</w:t>
      </w:r>
    </w:p>
    <w:p w14:paraId="373AA601" w14:textId="78631DF0" w:rsidR="00892655" w:rsidRDefault="00892655" w:rsidP="00892655">
      <w:pPr>
        <w:pStyle w:val="ColorfulList-Accent11"/>
        <w:numPr>
          <w:ilvl w:val="1"/>
          <w:numId w:val="5"/>
        </w:numPr>
      </w:pPr>
      <w:r w:rsidRPr="002F67EC">
        <w:rPr>
          <w:szCs w:val="20"/>
        </w:rPr>
        <w:t xml:space="preserve">All </w:t>
      </w:r>
      <w:r w:rsidR="001F0296">
        <w:t>IAB</w:t>
      </w:r>
      <w:r w:rsidR="00CA4BB5">
        <w:t xml:space="preserve"> Members </w:t>
      </w:r>
      <w:r>
        <w:t xml:space="preserve">will participate through the </w:t>
      </w:r>
      <w:r w:rsidR="001F0296">
        <w:t>IAB</w:t>
      </w:r>
      <w:r>
        <w:t xml:space="preserve"> in the strategic planning of the Center. The </w:t>
      </w:r>
      <w:r w:rsidR="008C1BDA">
        <w:t>IAB</w:t>
      </w:r>
      <w:r>
        <w:t xml:space="preserve"> will assist the Center Director, </w:t>
      </w:r>
      <w:r w:rsidR="008C1BDA">
        <w:t xml:space="preserve">Center Co-Director, </w:t>
      </w:r>
      <w:r>
        <w:t>Site Director</w:t>
      </w:r>
      <w:r w:rsidR="008C1BDA">
        <w:t>(s)</w:t>
      </w:r>
      <w:r>
        <w:t xml:space="preserve"> and participating faculty in identifying pre-competitive, generic, industry-related, research problems; recommend research projects for future work; identify appropriate internship opportunities for graduate students; assist the Center Director</w:t>
      </w:r>
      <w:r w:rsidR="008C1BDA">
        <w:t>, Center Co-Director,</w:t>
      </w:r>
      <w:r>
        <w:t xml:space="preserve"> and Site Director</w:t>
      </w:r>
      <w:r w:rsidR="008C1BDA">
        <w:t>(</w:t>
      </w:r>
      <w:r>
        <w:t>s</w:t>
      </w:r>
      <w:r w:rsidR="008C1BDA">
        <w:t>)</w:t>
      </w:r>
      <w:r>
        <w:t xml:space="preserve"> in identifying new members; review the research and educational accomplishments of the Center; and recommend restructuring and/or redirecting of ongoing programs to meet </w:t>
      </w:r>
      <w:r w:rsidR="001F0296">
        <w:t>IAB Member’s</w:t>
      </w:r>
      <w:r>
        <w:t xml:space="preserve"> needs and concerns.</w:t>
      </w:r>
    </w:p>
    <w:p w14:paraId="5FFF4D00" w14:textId="0FC34B74" w:rsidR="00892655" w:rsidRDefault="00892655" w:rsidP="00892655">
      <w:pPr>
        <w:pStyle w:val="ColorfulList-Accent11"/>
        <w:numPr>
          <w:ilvl w:val="1"/>
          <w:numId w:val="5"/>
        </w:numPr>
      </w:pPr>
      <w:r>
        <w:t xml:space="preserve">At all meetings of the </w:t>
      </w:r>
      <w:r w:rsidR="001F0296">
        <w:t>IAB</w:t>
      </w:r>
      <w:r>
        <w:t xml:space="preserve">, two-thirds </w:t>
      </w:r>
      <w:r w:rsidR="00053CD0">
        <w:t xml:space="preserve">(2/3) </w:t>
      </w:r>
      <w:r>
        <w:t xml:space="preserve">of the </w:t>
      </w:r>
      <w:r w:rsidR="001F0296">
        <w:t>IAB</w:t>
      </w:r>
      <w:r>
        <w:t xml:space="preserve"> will constitute a quorum for the transaction of business. The act by two-thirds vote of the </w:t>
      </w:r>
      <w:r w:rsidR="001F0296">
        <w:t>IAB</w:t>
      </w:r>
      <w:r>
        <w:t xml:space="preserve"> at any meeting at which there is a quorum will be the act of the </w:t>
      </w:r>
      <w:r w:rsidR="001F0296">
        <w:t>IAB</w:t>
      </w:r>
      <w:r>
        <w:t xml:space="preserve">. If a quorum is not present at any meeting, the </w:t>
      </w:r>
      <w:r>
        <w:lastRenderedPageBreak/>
        <w:t>present representatives may adjourn the meeting to another place, time</w:t>
      </w:r>
      <w:r w:rsidR="009C0A26">
        <w:t>,</w:t>
      </w:r>
      <w:r>
        <w:t xml:space="preserve"> or date, without notice other than announcement at the meeting, until a quorum is present.</w:t>
      </w:r>
      <w:r w:rsidR="00267DFD">
        <w:t xml:space="preserve"> All IAB members will then be informed of the quorum and final decision(s). The research project selection </w:t>
      </w:r>
      <w:r w:rsidR="00195A08">
        <w:t xml:space="preserve">algorithm </w:t>
      </w:r>
      <w:r w:rsidR="00267DFD">
        <w:t xml:space="preserve">detailed in Section </w:t>
      </w:r>
      <w:r w:rsidR="007C25A6">
        <w:t xml:space="preserve">7 </w:t>
      </w:r>
      <w:r w:rsidR="00267DFD">
        <w:t>only pertains to research project selection and applies to all IAB members.</w:t>
      </w:r>
    </w:p>
    <w:p w14:paraId="6039F4A1" w14:textId="77777777" w:rsidR="00892655" w:rsidRDefault="00892655" w:rsidP="00892655">
      <w:pPr>
        <w:pStyle w:val="ColorfulList-Accent11"/>
        <w:numPr>
          <w:ilvl w:val="0"/>
          <w:numId w:val="5"/>
        </w:numPr>
      </w:pPr>
      <w:r w:rsidRPr="00344698">
        <w:rPr>
          <w:u w:val="single"/>
        </w:rPr>
        <w:t>Center Director</w:t>
      </w:r>
      <w:r w:rsidR="00B36690">
        <w:rPr>
          <w:u w:val="single"/>
        </w:rPr>
        <w:t xml:space="preserve"> and Center Co-Director</w:t>
      </w:r>
      <w:r>
        <w:t>. The “Center Director” holds an appointment with the Lead Academic Member</w:t>
      </w:r>
      <w:r w:rsidR="00267DFD">
        <w:t xml:space="preserve"> (UCI)</w:t>
      </w:r>
      <w:r>
        <w:t>, as determined by the National Science Foundation</w:t>
      </w:r>
      <w:r w:rsidR="00267DFD">
        <w:t xml:space="preserve"> (“NSF”)</w:t>
      </w:r>
      <w:r>
        <w:t>, and conducts research within the Center’s Research Focus. The Center Director is appointed by the NSF. The Center Director is the primary decision-maker for the Center and shall have responsibility and authority for all aspects of Center’s operation and performance.</w:t>
      </w:r>
      <w:r w:rsidR="00B36690">
        <w:t xml:space="preserve"> The “Center Co-Director” will assist the Center Director in carrying out the tasks described above.</w:t>
      </w:r>
    </w:p>
    <w:p w14:paraId="2A6AB974" w14:textId="5550A211" w:rsidR="00892655" w:rsidRDefault="00892655" w:rsidP="00892655">
      <w:pPr>
        <w:pStyle w:val="ColorfulList-Accent11"/>
        <w:numPr>
          <w:ilvl w:val="1"/>
          <w:numId w:val="5"/>
        </w:numPr>
      </w:pPr>
      <w:r>
        <w:t>The Center Director will be responsible for all Center activities</w:t>
      </w:r>
      <w:r w:rsidR="002452E4">
        <w:t xml:space="preserve">. </w:t>
      </w:r>
      <w:r>
        <w:t>The Center Director</w:t>
      </w:r>
      <w:r w:rsidR="00BA77BD">
        <w:t xml:space="preserve"> and Center Co-Director</w:t>
      </w:r>
      <w:r>
        <w:t xml:space="preserve"> will be advised by the </w:t>
      </w:r>
      <w:r w:rsidR="001F0296">
        <w:t>IAB</w:t>
      </w:r>
      <w:r>
        <w:t xml:space="preserve"> </w:t>
      </w:r>
      <w:r w:rsidR="002452E4">
        <w:t>and its elected officials</w:t>
      </w:r>
      <w:r>
        <w:t>.</w:t>
      </w:r>
    </w:p>
    <w:p w14:paraId="5B595F5F" w14:textId="77777777" w:rsidR="00892655" w:rsidRDefault="00892655" w:rsidP="00892655">
      <w:pPr>
        <w:pStyle w:val="ColorfulList-Accent11"/>
        <w:numPr>
          <w:ilvl w:val="0"/>
          <w:numId w:val="5"/>
        </w:numPr>
      </w:pPr>
      <w:r w:rsidRPr="00344698">
        <w:rPr>
          <w:u w:val="single"/>
        </w:rPr>
        <w:t>Site Directors</w:t>
      </w:r>
      <w:r>
        <w:t xml:space="preserve">. Each Academic Member may select a Site Director to oversee Center activities at their university. If a Site Director becomes unable to serve, the appropriate </w:t>
      </w:r>
      <w:r w:rsidR="00267DFD">
        <w:t xml:space="preserve">Academic Member </w:t>
      </w:r>
      <w:r>
        <w:t>will appoint a successor Site Director subject to confirmation by the other Academic Members.</w:t>
      </w:r>
    </w:p>
    <w:p w14:paraId="0EAC9D40" w14:textId="77777777" w:rsidR="00892655" w:rsidRDefault="00892655" w:rsidP="00892655">
      <w:pPr>
        <w:pStyle w:val="ColorfulList-Accent11"/>
        <w:numPr>
          <w:ilvl w:val="1"/>
          <w:numId w:val="5"/>
        </w:numPr>
      </w:pPr>
      <w:r>
        <w:t>The Site Directors will be responsible for Center activities at their university and will report directly to their respective university administrators and to the Center Director. The Site Directors will serve as a liaison between the Center and the appropriate departments of the Academic Members.</w:t>
      </w:r>
    </w:p>
    <w:p w14:paraId="0F195CA5" w14:textId="77777777" w:rsidR="00892655" w:rsidRPr="00B11EDE" w:rsidRDefault="00892655" w:rsidP="00892655">
      <w:pPr>
        <w:pStyle w:val="ColorfulList-Accent11"/>
        <w:numPr>
          <w:ilvl w:val="0"/>
          <w:numId w:val="5"/>
        </w:numPr>
      </w:pPr>
      <w:r w:rsidRPr="00B11EDE">
        <w:t xml:space="preserve">Other </w:t>
      </w:r>
      <w:r w:rsidR="00267DFD">
        <w:t>Personnel</w:t>
      </w:r>
      <w:r w:rsidR="00267DFD" w:rsidRPr="00B11EDE">
        <w:t xml:space="preserve"> </w:t>
      </w:r>
      <w:r w:rsidRPr="00B11EDE">
        <w:t>in the Center include</w:t>
      </w:r>
      <w:r>
        <w:t xml:space="preserve"> but are not limited to</w:t>
      </w:r>
      <w:r w:rsidRPr="00B11EDE">
        <w:t xml:space="preserve">: </w:t>
      </w:r>
    </w:p>
    <w:p w14:paraId="5B03E8DA" w14:textId="77777777" w:rsidR="00BA77BD" w:rsidRPr="00BA77BD" w:rsidRDefault="00BA77BD" w:rsidP="00892655">
      <w:pPr>
        <w:pStyle w:val="ColorfulList-Accent11"/>
        <w:numPr>
          <w:ilvl w:val="1"/>
          <w:numId w:val="5"/>
        </w:numPr>
      </w:pPr>
      <w:r w:rsidRPr="00BA77BD">
        <w:rPr>
          <w:u w:val="single"/>
        </w:rPr>
        <w:t>Center Deputy Director.</w:t>
      </w:r>
      <w:r>
        <w:t xml:space="preserve"> The Center Deputy Director hold</w:t>
      </w:r>
      <w:r w:rsidR="00AB3E9C">
        <w:t>s</w:t>
      </w:r>
      <w:r>
        <w:t xml:space="preserve"> an appointment with the Lead Academic Member </w:t>
      </w:r>
      <w:r w:rsidR="00BD58BF">
        <w:t xml:space="preserve">(UCI) </w:t>
      </w:r>
      <w:r>
        <w:t xml:space="preserve">and will assist the Center Director and Center Co-Director in managing the </w:t>
      </w:r>
      <w:r w:rsidR="00267DFD">
        <w:t>C</w:t>
      </w:r>
      <w:r w:rsidR="00CB2E32">
        <w:t xml:space="preserve">enter, </w:t>
      </w:r>
      <w:r w:rsidR="00AB3E9C">
        <w:t>including</w:t>
      </w:r>
      <w:r w:rsidR="00CB2E32">
        <w:t xml:space="preserve"> technical and non-technical </w:t>
      </w:r>
      <w:r w:rsidR="00267DFD">
        <w:t>C</w:t>
      </w:r>
      <w:r w:rsidR="00CB2E32">
        <w:t>enter a</w:t>
      </w:r>
      <w:r>
        <w:t xml:space="preserve">ctivities. </w:t>
      </w:r>
    </w:p>
    <w:p w14:paraId="4008D4E7" w14:textId="77777777" w:rsidR="00892655" w:rsidRDefault="00892655" w:rsidP="00892655">
      <w:pPr>
        <w:pStyle w:val="ColorfulList-Accent11"/>
        <w:numPr>
          <w:ilvl w:val="1"/>
          <w:numId w:val="5"/>
        </w:numPr>
      </w:pPr>
      <w:r w:rsidRPr="00344698">
        <w:rPr>
          <w:u w:val="single"/>
        </w:rPr>
        <w:t>Project Principal Investigators</w:t>
      </w:r>
      <w:r>
        <w:t>. Project Principal Investigators will manage specific research projects funded by the Center or Industry Members and will report directly to the appropriate Site Director, university administrator, and to the Industrial Member supporting the project. Project Principal Investigators will be identified in specific project proposals.</w:t>
      </w:r>
    </w:p>
    <w:p w14:paraId="2DDC765D" w14:textId="77777777" w:rsidR="00892655" w:rsidRDefault="00892655" w:rsidP="00892655">
      <w:pPr>
        <w:pStyle w:val="ColorfulList-Accent11"/>
        <w:numPr>
          <w:ilvl w:val="1"/>
          <w:numId w:val="5"/>
        </w:numPr>
      </w:pPr>
      <w:r w:rsidRPr="00344698">
        <w:rPr>
          <w:u w:val="single"/>
        </w:rPr>
        <w:t>Administrative Support Staff</w:t>
      </w:r>
      <w:r>
        <w:t xml:space="preserve">. The Academic Members will provide a reasonable level of clerical and </w:t>
      </w:r>
      <w:r w:rsidR="00395383">
        <w:t xml:space="preserve">financial </w:t>
      </w:r>
      <w:r>
        <w:t>account</w:t>
      </w:r>
      <w:r w:rsidR="00395383">
        <w:t>ing</w:t>
      </w:r>
      <w:r>
        <w:t xml:space="preserve"> support for the operation of the Center.</w:t>
      </w:r>
    </w:p>
    <w:p w14:paraId="7DB59C75" w14:textId="1D7AC21F" w:rsidR="00892655" w:rsidRDefault="00395383" w:rsidP="00892655">
      <w:pPr>
        <w:pStyle w:val="ColorfulList-Accent11"/>
        <w:numPr>
          <w:ilvl w:val="1"/>
          <w:numId w:val="5"/>
        </w:numPr>
      </w:pPr>
      <w:r>
        <w:rPr>
          <w:u w:val="single"/>
        </w:rPr>
        <w:t>Assessment Coordinator</w:t>
      </w:r>
      <w:r w:rsidR="00892655">
        <w:t xml:space="preserve">: The Center </w:t>
      </w:r>
      <w:r>
        <w:t>Assessment Coordinator</w:t>
      </w:r>
      <w:r w:rsidR="00892655">
        <w:t>, funded by NSF, will assist the Center Director, Site Directors</w:t>
      </w:r>
      <w:r w:rsidR="00BD58BF">
        <w:t>,</w:t>
      </w:r>
      <w:r w:rsidR="00892655">
        <w:t xml:space="preserve"> and the IAB to organize the Center and provide an independent assessment of the operation. The Center </w:t>
      </w:r>
      <w:r>
        <w:t>Assessment Coordinator</w:t>
      </w:r>
      <w:r w:rsidR="00892655">
        <w:t xml:space="preserve"> will report directly to the</w:t>
      </w:r>
      <w:r w:rsidR="002D63B4">
        <w:t xml:space="preserve"> </w:t>
      </w:r>
      <w:r w:rsidR="00892655">
        <w:t xml:space="preserve">I/UCRC Program </w:t>
      </w:r>
      <w:r w:rsidR="00267DFD">
        <w:t xml:space="preserve">Director </w:t>
      </w:r>
      <w:r w:rsidR="00892655">
        <w:t xml:space="preserve">at NSF. The Center </w:t>
      </w:r>
      <w:r>
        <w:t>Assessment Coordinator</w:t>
      </w:r>
      <w:r w:rsidR="00892655">
        <w:t xml:space="preserve"> is paid a flat fee which includes all time and expenses for attending meetings and completing the evaluation tasks required by the NSF.</w:t>
      </w:r>
    </w:p>
    <w:p w14:paraId="3B402A11" w14:textId="77777777" w:rsidR="00892655" w:rsidRDefault="00892655" w:rsidP="00892655">
      <w:pPr>
        <w:pStyle w:val="Heading1"/>
      </w:pPr>
      <w:r>
        <w:lastRenderedPageBreak/>
        <w:t>Article 5:</w:t>
      </w:r>
      <w:r>
        <w:tab/>
        <w:t>Administration</w:t>
      </w:r>
    </w:p>
    <w:p w14:paraId="279AA7DE" w14:textId="40ABC6A0" w:rsidR="00892655" w:rsidRDefault="001F0296" w:rsidP="00892655">
      <w:pPr>
        <w:pStyle w:val="ColorfulList-Accent11"/>
        <w:numPr>
          <w:ilvl w:val="0"/>
          <w:numId w:val="6"/>
        </w:numPr>
      </w:pPr>
      <w:r>
        <w:t>IAB</w:t>
      </w:r>
      <w:r w:rsidR="00892655">
        <w:t>, Center Director</w:t>
      </w:r>
      <w:r w:rsidR="00AB3E9C">
        <w:t>, Center Co-Director,</w:t>
      </w:r>
      <w:r w:rsidR="00892655">
        <w:t xml:space="preserve"> </w:t>
      </w:r>
      <w:r w:rsidR="00AB3E9C">
        <w:t xml:space="preserve">Center Deputy Director, </w:t>
      </w:r>
      <w:r w:rsidR="00892655">
        <w:t>and Site Directors will work together on strategic plans for the Center and on recruiting new members.</w:t>
      </w:r>
    </w:p>
    <w:p w14:paraId="7326B361" w14:textId="649AF226" w:rsidR="00892655" w:rsidRDefault="00892655" w:rsidP="00892655">
      <w:pPr>
        <w:pStyle w:val="ColorfulList-Accent11"/>
        <w:numPr>
          <w:ilvl w:val="0"/>
          <w:numId w:val="6"/>
        </w:numPr>
      </w:pPr>
      <w:r>
        <w:t>The Center</w:t>
      </w:r>
      <w:r w:rsidR="00267DFD">
        <w:t xml:space="preserve"> Director</w:t>
      </w:r>
      <w:r>
        <w:t xml:space="preserve"> and </w:t>
      </w:r>
      <w:r w:rsidR="00267DFD">
        <w:t xml:space="preserve">the </w:t>
      </w:r>
      <w:r>
        <w:t xml:space="preserve">Site Directors, upon recommendation of the </w:t>
      </w:r>
      <w:r w:rsidR="001F0296">
        <w:t>IAB</w:t>
      </w:r>
      <w:r>
        <w:t>, will authorize the use of membership fees by the Project Principal Investigators in support of Center research.</w:t>
      </w:r>
    </w:p>
    <w:p w14:paraId="2EBC983C" w14:textId="77777777" w:rsidR="00892655" w:rsidRDefault="00892655" w:rsidP="00892655">
      <w:pPr>
        <w:pStyle w:val="Heading1"/>
      </w:pPr>
      <w:r>
        <w:t>Article 6:</w:t>
      </w:r>
      <w:r>
        <w:tab/>
        <w:t>Meetings</w:t>
      </w:r>
    </w:p>
    <w:p w14:paraId="1429035A" w14:textId="77777777" w:rsidR="00892655" w:rsidRDefault="00892655" w:rsidP="00892655">
      <w:pPr>
        <w:pStyle w:val="ColorfulList-Accent11"/>
        <w:numPr>
          <w:ilvl w:val="0"/>
          <w:numId w:val="7"/>
        </w:numPr>
      </w:pPr>
      <w:r>
        <w:t xml:space="preserve">The Center Director, </w:t>
      </w:r>
      <w:r w:rsidR="00AB3E9C">
        <w:t xml:space="preserve">Center Co-Director, Center Deputy Director, </w:t>
      </w:r>
      <w:r>
        <w:t>Site Directors and the IAB Chair will establish the schedule of activities and meetings for the Center as well as the agenda for the semi-annual research review meetings</w:t>
      </w:r>
      <w:r w:rsidR="00992951">
        <w:t>, as described in the following sub-section 2.</w:t>
      </w:r>
    </w:p>
    <w:p w14:paraId="0472471A" w14:textId="77777777" w:rsidR="00892655" w:rsidRDefault="00892655" w:rsidP="00892655">
      <w:pPr>
        <w:pStyle w:val="ColorfulList-Accent11"/>
        <w:numPr>
          <w:ilvl w:val="0"/>
          <w:numId w:val="7"/>
        </w:numPr>
      </w:pPr>
      <w:r>
        <w:t xml:space="preserve">The </w:t>
      </w:r>
      <w:r w:rsidR="00992951">
        <w:t>Academic Members</w:t>
      </w:r>
      <w:r>
        <w:t xml:space="preserve"> and IAB members for the Center will meet twice a year</w:t>
      </w:r>
      <w:r w:rsidR="00992951">
        <w:t xml:space="preserve"> (“Center IAB meetings”)</w:t>
      </w:r>
      <w:r>
        <w:t xml:space="preserve">; once in the </w:t>
      </w:r>
      <w:r w:rsidR="00992951">
        <w:t>f</w:t>
      </w:r>
      <w:r>
        <w:t xml:space="preserve">all and once in the </w:t>
      </w:r>
      <w:r w:rsidR="00992951">
        <w:t>s</w:t>
      </w:r>
      <w:r>
        <w:t xml:space="preserve">pring. The </w:t>
      </w:r>
      <w:r w:rsidR="00992951">
        <w:t>Academic Members</w:t>
      </w:r>
      <w:r>
        <w:t xml:space="preserve"> will host the meetings on a rotating basis with the date and location determined at the previous IAB meeting.</w:t>
      </w:r>
    </w:p>
    <w:p w14:paraId="2F1E54C9" w14:textId="77777777" w:rsidR="00892655" w:rsidRDefault="00892655" w:rsidP="00892655">
      <w:pPr>
        <w:pStyle w:val="ColorfulList-Accent11"/>
        <w:numPr>
          <w:ilvl w:val="1"/>
          <w:numId w:val="7"/>
        </w:numPr>
      </w:pPr>
      <w:r>
        <w:t xml:space="preserve">The main objective of the </w:t>
      </w:r>
      <w:r w:rsidR="00992951">
        <w:t>s</w:t>
      </w:r>
      <w:r>
        <w:t>pring meeting will be to propos</w:t>
      </w:r>
      <w:r w:rsidR="00527FB1">
        <w:t>e</w:t>
      </w:r>
      <w:r>
        <w:t xml:space="preserve"> projects to the IAB for funding</w:t>
      </w:r>
      <w:r w:rsidR="00FC179C">
        <w:t xml:space="preserve"> consideration. </w:t>
      </w:r>
      <w:r>
        <w:t xml:space="preserve">The main objective of the </w:t>
      </w:r>
      <w:r w:rsidR="00992951">
        <w:t>f</w:t>
      </w:r>
      <w:r>
        <w:t xml:space="preserve">all meeting will be </w:t>
      </w:r>
      <w:r w:rsidR="00992951">
        <w:t xml:space="preserve">to </w:t>
      </w:r>
      <w:r>
        <w:t xml:space="preserve">provide project updates to the IAB.   </w:t>
      </w:r>
    </w:p>
    <w:p w14:paraId="39A78088" w14:textId="753AC428" w:rsidR="00892655" w:rsidRDefault="00892655" w:rsidP="00892655">
      <w:pPr>
        <w:pStyle w:val="ColorfulList-Accent11"/>
        <w:numPr>
          <w:ilvl w:val="0"/>
          <w:numId w:val="7"/>
        </w:numPr>
      </w:pPr>
      <w:r>
        <w:t>The IAB will meet twice a year to review research results, select projects, review budgets</w:t>
      </w:r>
      <w:r w:rsidR="00BD58BF">
        <w:t>,</w:t>
      </w:r>
      <w:r>
        <w:t xml:space="preserve"> and discuss the strategic plans for the Center. The IAB review meetings will coincide with the semi-annual Center </w:t>
      </w:r>
      <w:r w:rsidR="00FC179C">
        <w:t xml:space="preserve">IAB </w:t>
      </w:r>
      <w:r>
        <w:t>meetings</w:t>
      </w:r>
      <w:r w:rsidR="00FC179C">
        <w:t>, as described in the previous sub-section 2</w:t>
      </w:r>
      <w:r>
        <w:t>. A</w:t>
      </w:r>
      <w:r w:rsidR="00992951">
        <w:t xml:space="preserve">n </w:t>
      </w:r>
      <w:r w:rsidR="00847BD0">
        <w:t xml:space="preserve">IAB </w:t>
      </w:r>
      <w:r w:rsidR="00992951">
        <w:t>M</w:t>
      </w:r>
      <w:r>
        <w:t xml:space="preserve">ember may send more than one </w:t>
      </w:r>
      <w:r w:rsidR="00992951">
        <w:t xml:space="preserve">person </w:t>
      </w:r>
      <w:r>
        <w:t>to the IAB meetings, but may only have one voting representative per paid membership</w:t>
      </w:r>
      <w:r w:rsidR="00FC179C">
        <w:t>,</w:t>
      </w:r>
      <w:r w:rsidR="00992951">
        <w:t xml:space="preserve"> up to </w:t>
      </w:r>
      <w:r w:rsidR="007C25A6">
        <w:t>two (</w:t>
      </w:r>
      <w:r w:rsidR="00992951">
        <w:t>2</w:t>
      </w:r>
      <w:r w:rsidR="007C25A6">
        <w:t>)</w:t>
      </w:r>
      <w:r w:rsidR="00992951">
        <w:t xml:space="preserve"> maximum</w:t>
      </w:r>
      <w:r>
        <w:t>.</w:t>
      </w:r>
    </w:p>
    <w:p w14:paraId="69FAAF41" w14:textId="77777777" w:rsidR="00892655" w:rsidRDefault="00892655" w:rsidP="00892655">
      <w:pPr>
        <w:pStyle w:val="ColorfulList-Accent11"/>
        <w:numPr>
          <w:ilvl w:val="0"/>
          <w:numId w:val="7"/>
        </w:numPr>
      </w:pPr>
      <w:r>
        <w:t xml:space="preserve">IAB members are expected to: </w:t>
      </w:r>
    </w:p>
    <w:p w14:paraId="51224640" w14:textId="77777777" w:rsidR="00892655" w:rsidRDefault="00892655" w:rsidP="00892655">
      <w:pPr>
        <w:pStyle w:val="ColorfulList-Accent11"/>
        <w:numPr>
          <w:ilvl w:val="1"/>
          <w:numId w:val="7"/>
        </w:numPr>
      </w:pPr>
      <w:r>
        <w:t>Attend both semi-annual IAB meetings, in person (barring circumstances out of their control)</w:t>
      </w:r>
      <w:r w:rsidR="00AF0790">
        <w:t>;</w:t>
      </w:r>
      <w:r>
        <w:t xml:space="preserve"> </w:t>
      </w:r>
      <w:r w:rsidR="00AF0790">
        <w:t>v</w:t>
      </w:r>
      <w:r>
        <w:t>ideo- or tele-conference participation during project selection procedures is discouraged;</w:t>
      </w:r>
    </w:p>
    <w:p w14:paraId="2AEDE5D6" w14:textId="77777777" w:rsidR="00892655" w:rsidRDefault="00892655" w:rsidP="00892655">
      <w:pPr>
        <w:pStyle w:val="ColorfulList-Accent11"/>
        <w:numPr>
          <w:ilvl w:val="1"/>
          <w:numId w:val="7"/>
        </w:numPr>
      </w:pPr>
      <w:r>
        <w:t>Participate in the process of reviewing and selecting research to be funded; and</w:t>
      </w:r>
    </w:p>
    <w:p w14:paraId="0396FB64" w14:textId="77777777" w:rsidR="00892655" w:rsidRDefault="00892655" w:rsidP="00892655">
      <w:pPr>
        <w:pStyle w:val="ColorfulList-Accent11"/>
        <w:numPr>
          <w:ilvl w:val="1"/>
          <w:numId w:val="7"/>
        </w:numPr>
      </w:pPr>
      <w:r>
        <w:t>Vote on issues before</w:t>
      </w:r>
      <w:r w:rsidR="00BD58BF">
        <w:t xml:space="preserve"> the</w:t>
      </w:r>
      <w:r>
        <w:t xml:space="preserve"> IAB.</w:t>
      </w:r>
    </w:p>
    <w:p w14:paraId="5236EB17" w14:textId="77777777" w:rsidR="00892655" w:rsidRDefault="00892655" w:rsidP="00892655">
      <w:pPr>
        <w:pStyle w:val="ColorfulList-Accent11"/>
        <w:numPr>
          <w:ilvl w:val="0"/>
          <w:numId w:val="7"/>
        </w:numPr>
      </w:pPr>
      <w:r>
        <w:t>The University Policy Committee will meet as necessary to discuss and resolve Center program and management issues.</w:t>
      </w:r>
    </w:p>
    <w:p w14:paraId="1FE5C14D" w14:textId="60DE5B07" w:rsidR="00892655" w:rsidRDefault="00892655" w:rsidP="00892655">
      <w:pPr>
        <w:pStyle w:val="ColorfulList-Accent11"/>
        <w:numPr>
          <w:ilvl w:val="0"/>
          <w:numId w:val="7"/>
        </w:numPr>
      </w:pPr>
      <w:r>
        <w:t xml:space="preserve">Center </w:t>
      </w:r>
      <w:r w:rsidR="00FD12B6">
        <w:t xml:space="preserve">IAB </w:t>
      </w:r>
      <w:r>
        <w:t xml:space="preserve">meetings are closed to the public, because of the proprietary Center information that will be discussed. </w:t>
      </w:r>
      <w:r w:rsidR="00FC179C">
        <w:t>A</w:t>
      </w:r>
      <w:r>
        <w:t xml:space="preserve">ttendance is limited to representatives of </w:t>
      </w:r>
      <w:r w:rsidR="00FC179C">
        <w:t xml:space="preserve">Academic Members and </w:t>
      </w:r>
      <w:r w:rsidR="00847BD0">
        <w:t xml:space="preserve">IAB </w:t>
      </w:r>
      <w:r w:rsidR="00FC179C">
        <w:t>Members</w:t>
      </w:r>
      <w:r>
        <w:t>; faculty, staff</w:t>
      </w:r>
      <w:r w:rsidR="00BD58BF">
        <w:t>, post-docs,</w:t>
      </w:r>
      <w:r>
        <w:t xml:space="preserve"> and students of </w:t>
      </w:r>
      <w:r w:rsidR="00FC179C">
        <w:t>the Academic Members</w:t>
      </w:r>
      <w:r>
        <w:t>; and the Center Evaluator and other NSF personnel.</w:t>
      </w:r>
    </w:p>
    <w:p w14:paraId="4C3568AF" w14:textId="05ED8E8A" w:rsidR="00892655" w:rsidRDefault="00892655" w:rsidP="00892655">
      <w:pPr>
        <w:pStyle w:val="ColorfulList-Accent11"/>
        <w:numPr>
          <w:ilvl w:val="1"/>
          <w:numId w:val="7"/>
        </w:numPr>
      </w:pPr>
      <w:r>
        <w:t>In the event a prospective member would like to attend</w:t>
      </w:r>
      <w:r w:rsidR="00722FF7">
        <w:t xml:space="preserve"> an IAB meeting</w:t>
      </w:r>
      <w:r>
        <w:t>, that organization must sign a non-disclosure agreement</w:t>
      </w:r>
      <w:r w:rsidR="00FC179C">
        <w:t xml:space="preserve"> prior to attending</w:t>
      </w:r>
      <w:r>
        <w:t xml:space="preserve"> and would not participate in IAB voting</w:t>
      </w:r>
      <w:r w:rsidR="00FC179C">
        <w:t xml:space="preserve"> (if a spring Center IAB meeting)</w:t>
      </w:r>
      <w:r>
        <w:t>.</w:t>
      </w:r>
      <w:r w:rsidR="00FC179C">
        <w:t xml:space="preserve"> Prospective members are only allowed to attend </w:t>
      </w:r>
      <w:r w:rsidR="00FC179C">
        <w:lastRenderedPageBreak/>
        <w:t xml:space="preserve">one IAB meeting. </w:t>
      </w:r>
      <w:r w:rsidR="00847BD0">
        <w:t xml:space="preserve">  Likewise, members of Association Members who would like to attend an IAB meeting must also sign a non-disclosure agreement prior to attending an IAB meeting</w:t>
      </w:r>
      <w:r w:rsidR="00B3259B">
        <w:t xml:space="preserve"> and are only allowed to attend one IAB meeting</w:t>
      </w:r>
      <w:r w:rsidR="00847BD0">
        <w:t>.</w:t>
      </w:r>
    </w:p>
    <w:p w14:paraId="37FDE6E1" w14:textId="77777777" w:rsidR="00892655" w:rsidRDefault="00892655" w:rsidP="00892655">
      <w:pPr>
        <w:pStyle w:val="Heading1"/>
      </w:pPr>
      <w:r>
        <w:t>Article 7:</w:t>
      </w:r>
      <w:r>
        <w:tab/>
        <w:t>Research Project Selection</w:t>
      </w:r>
    </w:p>
    <w:p w14:paraId="228F0F65" w14:textId="77777777" w:rsidR="00892655" w:rsidRDefault="00B1207E" w:rsidP="00892655">
      <w:pPr>
        <w:pStyle w:val="ColorfulList-Accent11"/>
        <w:numPr>
          <w:ilvl w:val="0"/>
          <w:numId w:val="8"/>
        </w:numPr>
      </w:pPr>
      <w:r>
        <w:t xml:space="preserve">The </w:t>
      </w:r>
      <w:r w:rsidR="00892655">
        <w:t xml:space="preserve">algorithm for selecting projects </w:t>
      </w:r>
      <w:r>
        <w:t>was</w:t>
      </w:r>
      <w:r w:rsidR="00892655">
        <w:t xml:space="preserve"> developed and </w:t>
      </w:r>
      <w:r w:rsidR="00AF0790">
        <w:t xml:space="preserve">is </w:t>
      </w:r>
      <w:r w:rsidR="00892655">
        <w:t xml:space="preserve">utilized </w:t>
      </w:r>
      <w:r w:rsidR="00AF0790">
        <w:t>as a</w:t>
      </w:r>
      <w:r w:rsidR="00FD12B6">
        <w:t>n</w:t>
      </w:r>
      <w:r w:rsidR="00AF0790">
        <w:t xml:space="preserve"> objective means </w:t>
      </w:r>
      <w:r w:rsidR="00892655">
        <w:t xml:space="preserve">of </w:t>
      </w:r>
      <w:r w:rsidR="00AF0790">
        <w:t xml:space="preserve">consensual </w:t>
      </w:r>
      <w:r w:rsidR="00892655">
        <w:t xml:space="preserve">project selection. The algorithm </w:t>
      </w:r>
      <w:r>
        <w:t>is</w:t>
      </w:r>
      <w:r w:rsidR="00892655">
        <w:t xml:space="preserve"> based on tools suggested by NSF, recommendations of the Center Evaluator and experiences of Center Director.</w:t>
      </w:r>
    </w:p>
    <w:p w14:paraId="654E5E5F" w14:textId="77777777" w:rsidR="00892655" w:rsidRDefault="00892655" w:rsidP="00892655">
      <w:pPr>
        <w:pStyle w:val="ColorfulList-Accent11"/>
        <w:numPr>
          <w:ilvl w:val="0"/>
          <w:numId w:val="8"/>
        </w:numPr>
      </w:pPr>
      <w:r>
        <w:t xml:space="preserve">A Center research project will require consensus support of Center IAB members in order to optimize the value of pooling membership fees for research. Selection of projects will be voted on by IAB members using </w:t>
      </w:r>
      <w:r w:rsidR="00AF0790">
        <w:t xml:space="preserve">the </w:t>
      </w:r>
      <w:r>
        <w:t xml:space="preserve">algorithm </w:t>
      </w:r>
      <w:r w:rsidR="00B1207E">
        <w:t>as described in Article 8</w:t>
      </w:r>
      <w:r>
        <w:t xml:space="preserve"> and adopted by the IAB.</w:t>
      </w:r>
    </w:p>
    <w:p w14:paraId="0A8743B3" w14:textId="50E85A1B" w:rsidR="00892655" w:rsidRDefault="00892655" w:rsidP="00892655">
      <w:pPr>
        <w:pStyle w:val="ColorfulList-Accent11"/>
        <w:numPr>
          <w:ilvl w:val="0"/>
          <w:numId w:val="8"/>
        </w:numPr>
      </w:pPr>
      <w:r>
        <w:t xml:space="preserve">All </w:t>
      </w:r>
      <w:r w:rsidR="00951111">
        <w:t>IAB</w:t>
      </w:r>
      <w:r w:rsidR="00CA4BB5">
        <w:t xml:space="preserve"> </w:t>
      </w:r>
      <w:r w:rsidR="00AD1C09">
        <w:t>M</w:t>
      </w:r>
      <w:r>
        <w:t>embers</w:t>
      </w:r>
      <w:r w:rsidR="00FD12B6">
        <w:t>’ voting representatives</w:t>
      </w:r>
      <w:r>
        <w:t xml:space="preserve"> participate in the selection and evaluation of research projects. </w:t>
      </w:r>
    </w:p>
    <w:p w14:paraId="023CCDB3" w14:textId="77777777" w:rsidR="00892655" w:rsidRDefault="00892655" w:rsidP="00892655">
      <w:pPr>
        <w:pStyle w:val="ColorfulList-Accent11"/>
        <w:numPr>
          <w:ilvl w:val="0"/>
          <w:numId w:val="8"/>
        </w:numPr>
      </w:pPr>
      <w:r>
        <w:t>The Center Director</w:t>
      </w:r>
      <w:r w:rsidR="00FD12B6">
        <w:t xml:space="preserve"> gives final approval to the projects selected by the IAB</w:t>
      </w:r>
      <w:r>
        <w:t>.</w:t>
      </w:r>
    </w:p>
    <w:p w14:paraId="71ABEAD2" w14:textId="77777777" w:rsidR="00BD056E" w:rsidRPr="00BD056E" w:rsidRDefault="00892655" w:rsidP="00BD056E">
      <w:pPr>
        <w:pStyle w:val="Heading1"/>
      </w:pPr>
      <w:r>
        <w:t xml:space="preserve">Article 8: </w:t>
      </w:r>
      <w:r>
        <w:tab/>
        <w:t>Research Project Selection Algorithm</w:t>
      </w:r>
    </w:p>
    <w:p w14:paraId="6B5C6D3B" w14:textId="77777777" w:rsidR="00892655" w:rsidRDefault="00892655" w:rsidP="00EA63E8">
      <w:pPr>
        <w:numPr>
          <w:ilvl w:val="0"/>
          <w:numId w:val="9"/>
        </w:numPr>
        <w:ind w:left="720"/>
      </w:pPr>
      <w:r>
        <w:t>Research projects will be selected by the vote of IAB member representatives</w:t>
      </w:r>
      <w:r w:rsidR="00FE33AE">
        <w:t xml:space="preserve"> at the Spring IAB meeting.</w:t>
      </w:r>
    </w:p>
    <w:p w14:paraId="53D7536A" w14:textId="77777777" w:rsidR="00C2710F" w:rsidRDefault="00C2710F" w:rsidP="00EA63E8">
      <w:pPr>
        <w:numPr>
          <w:ilvl w:val="0"/>
          <w:numId w:val="9"/>
        </w:numPr>
        <w:ind w:left="720"/>
      </w:pPr>
      <w:r>
        <w:t xml:space="preserve">At the </w:t>
      </w:r>
      <w:r w:rsidR="001D1030">
        <w:t xml:space="preserve">Spring </w:t>
      </w:r>
      <w:r>
        <w:t>IAB Meeting, continuing research projects will be presented and considered before new projects.</w:t>
      </w:r>
    </w:p>
    <w:p w14:paraId="06A7E167" w14:textId="77777777" w:rsidR="00892655" w:rsidRDefault="00892655" w:rsidP="00EA63E8">
      <w:pPr>
        <w:numPr>
          <w:ilvl w:val="0"/>
          <w:numId w:val="9"/>
        </w:numPr>
        <w:ind w:left="720"/>
      </w:pPr>
      <w:r>
        <w:t>Votes are granted to IAB member organizations according to the following calculation</w:t>
      </w:r>
      <w:r w:rsidR="00EA63E8">
        <w:t>:</w:t>
      </w:r>
    </w:p>
    <w:p w14:paraId="717EE25D" w14:textId="77777777" w:rsidR="00892655" w:rsidRDefault="00F74095" w:rsidP="00FA3553">
      <w:pPr>
        <w:numPr>
          <w:ilvl w:val="1"/>
          <w:numId w:val="9"/>
        </w:numPr>
        <w:ind w:left="1440"/>
      </w:pPr>
      <w:r>
        <w:t>F</w:t>
      </w:r>
      <w:r w:rsidR="00892655">
        <w:t xml:space="preserve">ull membership requires a $50,000 </w:t>
      </w:r>
      <w:r>
        <w:t xml:space="preserve">cash </w:t>
      </w:r>
      <w:r w:rsidR="00892655">
        <w:t>investment.  The number of votes granted to a full member is 50 votes.</w:t>
      </w:r>
    </w:p>
    <w:p w14:paraId="2BBF0199" w14:textId="52C8C4F4" w:rsidR="00434187" w:rsidRDefault="00EA63E8" w:rsidP="00FA3553">
      <w:pPr>
        <w:numPr>
          <w:ilvl w:val="1"/>
          <w:numId w:val="9"/>
        </w:numPr>
        <w:ind w:left="1440"/>
      </w:pPr>
      <w:r>
        <w:t>If an individual organization, including divisions or business units of a larger corporation, acquire</w:t>
      </w:r>
      <w:r w:rsidR="007834E8">
        <w:t>s</w:t>
      </w:r>
      <w:r>
        <w:t xml:space="preserve"> multiple Center </w:t>
      </w:r>
      <w:r w:rsidRPr="00452089">
        <w:t xml:space="preserve">memberships, </w:t>
      </w:r>
      <w:r>
        <w:t>the number of votes is maximized at the equivalent of two full memberships in the Center (i.e.</w:t>
      </w:r>
      <w:r w:rsidR="00061920">
        <w:t>,</w:t>
      </w:r>
      <w:r>
        <w:t xml:space="preserve"> 100 votes)</w:t>
      </w:r>
      <w:r w:rsidR="001B0AD0">
        <w:t>.</w:t>
      </w:r>
    </w:p>
    <w:p w14:paraId="59AD0F24" w14:textId="5540C341" w:rsidR="009D0D71" w:rsidRPr="000272B1" w:rsidRDefault="00EE5D32" w:rsidP="00434187">
      <w:pPr>
        <w:numPr>
          <w:ilvl w:val="1"/>
          <w:numId w:val="9"/>
        </w:numPr>
        <w:ind w:left="1440"/>
        <w:rPr>
          <w:szCs w:val="20"/>
        </w:rPr>
      </w:pPr>
      <w:r w:rsidRPr="000272B1">
        <w:rPr>
          <w:szCs w:val="20"/>
          <w:lang w:val="en-GB"/>
        </w:rPr>
        <w:t>In preparation for Spring IAB project selection meetings, proposed projects that will require in-kind support will include</w:t>
      </w:r>
      <w:r w:rsidR="006710E5">
        <w:rPr>
          <w:szCs w:val="20"/>
          <w:lang w:val="en-GB"/>
        </w:rPr>
        <w:t xml:space="preserve"> it</w:t>
      </w:r>
      <w:r w:rsidRPr="000272B1">
        <w:rPr>
          <w:szCs w:val="20"/>
          <w:lang w:val="en-GB"/>
        </w:rPr>
        <w:t xml:space="preserve"> in their Executive Summar</w:t>
      </w:r>
      <w:r w:rsidR="00951111">
        <w:rPr>
          <w:szCs w:val="20"/>
          <w:lang w:val="en-GB"/>
        </w:rPr>
        <w:t>y’s</w:t>
      </w:r>
      <w:r w:rsidRPr="000272B1">
        <w:rPr>
          <w:szCs w:val="20"/>
          <w:lang w:val="en-GB"/>
        </w:rPr>
        <w:t xml:space="preserve"> estimates for in-kind manufacturing services or products to be provided by In-Kind Industrial Members.</w:t>
      </w:r>
      <w:r w:rsidRPr="000272B1">
        <w:rPr>
          <w:szCs w:val="20"/>
        </w:rPr>
        <w:t xml:space="preserve"> </w:t>
      </w:r>
      <w:r w:rsidRPr="000272B1">
        <w:rPr>
          <w:szCs w:val="20"/>
          <w:lang w:val="en-GB"/>
        </w:rPr>
        <w:t xml:space="preserve">For manufacturing, exact pricing will depend on complexity of the services required and will be pre-negotiated for each proposed project requiring the service. </w:t>
      </w:r>
      <w:r w:rsidRPr="000272B1">
        <w:rPr>
          <w:szCs w:val="20"/>
        </w:rPr>
        <w:t>Executive Summary budgets must include a line item for in-kind goods or services as needed.</w:t>
      </w:r>
      <w:r w:rsidR="004F29CC" w:rsidRPr="000272B1">
        <w:rPr>
          <w:szCs w:val="20"/>
        </w:rPr>
        <w:t xml:space="preserve"> </w:t>
      </w:r>
    </w:p>
    <w:p w14:paraId="5F2AB9A2" w14:textId="71A6620C" w:rsidR="00EE5D32" w:rsidRPr="000272B1" w:rsidRDefault="00EE5D32" w:rsidP="00EE5D32">
      <w:pPr>
        <w:numPr>
          <w:ilvl w:val="2"/>
          <w:numId w:val="9"/>
        </w:numPr>
        <w:ind w:left="2160"/>
        <w:rPr>
          <w:szCs w:val="20"/>
        </w:rPr>
      </w:pPr>
      <w:r w:rsidRPr="000272B1">
        <w:rPr>
          <w:i/>
          <w:szCs w:val="20"/>
        </w:rPr>
        <w:t>Before Project Selection/Voting</w:t>
      </w:r>
      <w:r w:rsidRPr="000272B1">
        <w:rPr>
          <w:szCs w:val="20"/>
        </w:rPr>
        <w:t xml:space="preserve">: If the sum total of requested in-kind support from a single In-Kind Industrial Member is less than $25,000 equivalent, then the In-Kind Industrial Member will not be permitted to vote during project selection. If the sum total of requested in-kind is </w:t>
      </w:r>
      <w:r w:rsidR="004F76A0">
        <w:rPr>
          <w:szCs w:val="20"/>
        </w:rPr>
        <w:t xml:space="preserve">equal to or </w:t>
      </w:r>
      <w:r w:rsidRPr="000272B1">
        <w:rPr>
          <w:szCs w:val="20"/>
        </w:rPr>
        <w:t xml:space="preserve">greater than $25,000 equivalent, </w:t>
      </w:r>
      <w:r w:rsidRPr="000272B1">
        <w:rPr>
          <w:szCs w:val="20"/>
        </w:rPr>
        <w:lastRenderedPageBreak/>
        <w:t>then In-Kind Industrial Member will receive 25 votes to allocate during project selection.</w:t>
      </w:r>
    </w:p>
    <w:p w14:paraId="052068BA" w14:textId="77777777" w:rsidR="00EE5D32" w:rsidRPr="000272B1" w:rsidRDefault="00EE5D32" w:rsidP="00EE5D32">
      <w:pPr>
        <w:numPr>
          <w:ilvl w:val="2"/>
          <w:numId w:val="9"/>
        </w:numPr>
        <w:ind w:left="2160"/>
        <w:rPr>
          <w:szCs w:val="20"/>
        </w:rPr>
      </w:pPr>
      <w:r w:rsidRPr="000272B1">
        <w:rPr>
          <w:i/>
          <w:szCs w:val="20"/>
        </w:rPr>
        <w:t>After Project Selection/Voting:</w:t>
      </w:r>
      <w:r w:rsidRPr="000272B1">
        <w:rPr>
          <w:szCs w:val="20"/>
        </w:rPr>
        <w:t xml:space="preserve"> If the sum total of in-kind requirements for the selected projects is less than $25,000 for a single In-Kind Industrial Member, the remaining in-kind commitment will be made available </w:t>
      </w:r>
      <w:r w:rsidR="009C4EEC" w:rsidRPr="000272B1">
        <w:rPr>
          <w:szCs w:val="20"/>
        </w:rPr>
        <w:t xml:space="preserve">for use on new Center projects </w:t>
      </w:r>
      <w:r w:rsidRPr="000272B1">
        <w:rPr>
          <w:szCs w:val="20"/>
        </w:rPr>
        <w:t xml:space="preserve"> on a first-come first-serve basis, with Center Director approval, until $25,000 equivalent is met. If the sum total of in-kind requirements for the selected projects exceeds $25,000 equivalent for a single In-Kind Industrial Member, then the</w:t>
      </w:r>
      <w:r w:rsidR="00507B45">
        <w:rPr>
          <w:szCs w:val="20"/>
        </w:rPr>
        <w:t xml:space="preserve"> In-Kind</w:t>
      </w:r>
      <w:r w:rsidRPr="000272B1">
        <w:rPr>
          <w:szCs w:val="20"/>
        </w:rPr>
        <w:t xml:space="preserve"> Member can (a) </w:t>
      </w:r>
      <w:r w:rsidR="004D4111" w:rsidRPr="000272B1">
        <w:rPr>
          <w:szCs w:val="20"/>
        </w:rPr>
        <w:t xml:space="preserve">revise </w:t>
      </w:r>
      <w:r w:rsidRPr="000272B1">
        <w:rPr>
          <w:szCs w:val="20"/>
        </w:rPr>
        <w:t xml:space="preserve">the amount of in-kind allocated to each selected project, or (b) contribute additional in-kind to accommodate all selected projects. </w:t>
      </w:r>
    </w:p>
    <w:p w14:paraId="09679214" w14:textId="77777777" w:rsidR="00C2710F" w:rsidRDefault="00C2710F" w:rsidP="00EA63E8">
      <w:pPr>
        <w:numPr>
          <w:ilvl w:val="0"/>
          <w:numId w:val="9"/>
        </w:numPr>
        <w:ind w:left="720"/>
      </w:pPr>
      <w:r>
        <w:t xml:space="preserve">The IAB Chair will guide the closed-door voting process. Prior to actual voting, the IAB Chair will review the voting protocol and goals of the CADMIM center. </w:t>
      </w:r>
    </w:p>
    <w:p w14:paraId="655BC38F" w14:textId="77777777" w:rsidR="00892655" w:rsidRDefault="00892655" w:rsidP="00EA63E8">
      <w:pPr>
        <w:numPr>
          <w:ilvl w:val="0"/>
          <w:numId w:val="9"/>
        </w:numPr>
        <w:ind w:left="720"/>
      </w:pPr>
      <w:r>
        <w:t>IAB member organizations can apportion their votes to any combination of the proposed Research Projects according to their wishes, up to the total of their granted votes</w:t>
      </w:r>
      <w:r w:rsidR="00EA63E8">
        <w:t>.</w:t>
      </w:r>
    </w:p>
    <w:p w14:paraId="0C6A2AEE" w14:textId="77777777" w:rsidR="00892655" w:rsidRDefault="00892655" w:rsidP="00EA63E8">
      <w:pPr>
        <w:numPr>
          <w:ilvl w:val="0"/>
          <w:numId w:val="9"/>
        </w:numPr>
        <w:ind w:left="720"/>
      </w:pPr>
      <w:r>
        <w:t xml:space="preserve">Those projects receiving the largest number of votes will be funded according to their proposed budget levels in the order of their total vote count.  Projects will be funded in rank order of IAB votes (highest to lowest).  The number of projects that receive funding is dependent on the total cash budget for any given year.  </w:t>
      </w:r>
    </w:p>
    <w:p w14:paraId="5FFDA81A" w14:textId="77777777" w:rsidR="00FD2778" w:rsidRDefault="00FD2778" w:rsidP="00FD2778">
      <w:pPr>
        <w:numPr>
          <w:ilvl w:val="1"/>
          <w:numId w:val="9"/>
        </w:numPr>
        <w:ind w:left="1440"/>
      </w:pPr>
      <w:r>
        <w:t>The Center Director</w:t>
      </w:r>
      <w:r w:rsidR="00355C79">
        <w:t xml:space="preserve"> </w:t>
      </w:r>
      <w:r>
        <w:t>may request that a portion of the annual cash budget be reserved for center growth</w:t>
      </w:r>
      <w:r w:rsidR="001D1030">
        <w:t xml:space="preserve">, </w:t>
      </w:r>
      <w:r>
        <w:t>development</w:t>
      </w:r>
      <w:r w:rsidR="001D1030">
        <w:t>, and infrastructure</w:t>
      </w:r>
      <w:r>
        <w:t xml:space="preserve"> and/or technical activities relevant to the CADMIM research focus areas. Approval of the sequestering of this portion for use throughout the year for these purposes and the actual </w:t>
      </w:r>
      <w:r w:rsidR="00355C79">
        <w:t xml:space="preserve">dollar </w:t>
      </w:r>
      <w:r>
        <w:t xml:space="preserve">amount must be approved by </w:t>
      </w:r>
      <w:r w:rsidR="00053CD0">
        <w:t xml:space="preserve">a 2/3 majority </w:t>
      </w:r>
      <w:r w:rsidR="001D1030">
        <w:t xml:space="preserve">quorum </w:t>
      </w:r>
      <w:r w:rsidR="00053CD0">
        <w:t xml:space="preserve">of </w:t>
      </w:r>
      <w:r>
        <w:t>the IAB</w:t>
      </w:r>
      <w:r w:rsidR="00FE33AE">
        <w:t xml:space="preserve"> at the </w:t>
      </w:r>
      <w:r w:rsidR="000B1F1C">
        <w:t>s</w:t>
      </w:r>
      <w:r w:rsidR="00FE33AE">
        <w:t>pring IAB meeting.</w:t>
      </w:r>
    </w:p>
    <w:p w14:paraId="2126DDC4" w14:textId="77777777" w:rsidR="00D83DB2" w:rsidRDefault="00892655" w:rsidP="00D83DB2">
      <w:pPr>
        <w:numPr>
          <w:ilvl w:val="0"/>
          <w:numId w:val="9"/>
        </w:numPr>
        <w:ind w:left="720"/>
      </w:pPr>
      <w:r>
        <w:t xml:space="preserve">Adjustments to this algorithm are permissible in consideration of overarching IAB and I/UCRC strategy, however adjustments must </w:t>
      </w:r>
      <w:r w:rsidR="000B1F1C">
        <w:t xml:space="preserve">be </w:t>
      </w:r>
      <w:r>
        <w:t xml:space="preserve">approved by a </w:t>
      </w:r>
      <w:r w:rsidR="001D1030">
        <w:t>2/3 majority</w:t>
      </w:r>
      <w:r w:rsidR="001D1030" w:rsidDel="001D1030">
        <w:t xml:space="preserve"> </w:t>
      </w:r>
      <w:r w:rsidR="001D1030">
        <w:t xml:space="preserve">quorum </w:t>
      </w:r>
      <w:r>
        <w:t>of the IAB</w:t>
      </w:r>
      <w:r w:rsidR="000B1F1C">
        <w:t>.</w:t>
      </w:r>
    </w:p>
    <w:p w14:paraId="6B166664" w14:textId="77777777" w:rsidR="00D83DB2" w:rsidRDefault="00D83DB2" w:rsidP="00D83DB2">
      <w:pPr>
        <w:pStyle w:val="Heading1"/>
      </w:pPr>
      <w:r>
        <w:t>Article 9:</w:t>
      </w:r>
      <w:r>
        <w:tab/>
      </w:r>
      <w:r w:rsidRPr="009C1B6C">
        <w:t xml:space="preserve">Additional Memberships Fees Post </w:t>
      </w:r>
      <w:r>
        <w:t xml:space="preserve">Annual </w:t>
      </w:r>
      <w:r w:rsidRPr="009C1B6C">
        <w:t>Project Selection</w:t>
      </w:r>
    </w:p>
    <w:p w14:paraId="55630163" w14:textId="32422676" w:rsidR="000B1F1C" w:rsidRPr="00D76572" w:rsidRDefault="00BD056E" w:rsidP="00BD056E">
      <w:pPr>
        <w:numPr>
          <w:ilvl w:val="0"/>
          <w:numId w:val="20"/>
        </w:numPr>
      </w:pPr>
      <w:r w:rsidRPr="00BD056E">
        <w:t>From time</w:t>
      </w:r>
      <w:r w:rsidRPr="00BD056E">
        <w:rPr>
          <w:szCs w:val="20"/>
        </w:rPr>
        <w:t xml:space="preserve"> to time </w:t>
      </w:r>
      <w:r w:rsidR="00853003">
        <w:rPr>
          <w:szCs w:val="20"/>
        </w:rPr>
        <w:t>IAB</w:t>
      </w:r>
      <w:r w:rsidRPr="00BD056E">
        <w:rPr>
          <w:szCs w:val="20"/>
        </w:rPr>
        <w:t xml:space="preserve"> members may elect to purchase an additional membership in the Center after the </w:t>
      </w:r>
      <w:r w:rsidR="000B1F1C">
        <w:rPr>
          <w:szCs w:val="20"/>
        </w:rPr>
        <w:t>s</w:t>
      </w:r>
      <w:r w:rsidRPr="00BD056E">
        <w:rPr>
          <w:szCs w:val="20"/>
        </w:rPr>
        <w:t xml:space="preserve">pring </w:t>
      </w:r>
      <w:r w:rsidR="000B1F1C">
        <w:rPr>
          <w:szCs w:val="20"/>
        </w:rPr>
        <w:t xml:space="preserve">Center </w:t>
      </w:r>
      <w:r w:rsidRPr="00BD056E">
        <w:rPr>
          <w:szCs w:val="20"/>
        </w:rPr>
        <w:t>IAB meeting when projects for the year have been selected</w:t>
      </w:r>
      <w:r w:rsidR="000B1F1C">
        <w:rPr>
          <w:szCs w:val="20"/>
        </w:rPr>
        <w:t>, with the aim of applying these additional funds to:</w:t>
      </w:r>
    </w:p>
    <w:p w14:paraId="523924EE" w14:textId="77777777" w:rsidR="000B1F1C" w:rsidRPr="002E365F" w:rsidRDefault="000B1F1C" w:rsidP="000B1F1C">
      <w:pPr>
        <w:numPr>
          <w:ilvl w:val="1"/>
          <w:numId w:val="20"/>
        </w:numPr>
      </w:pPr>
      <w:r>
        <w:rPr>
          <w:szCs w:val="20"/>
        </w:rPr>
        <w:t>A</w:t>
      </w:r>
      <w:r w:rsidR="00D70818">
        <w:rPr>
          <w:szCs w:val="20"/>
        </w:rPr>
        <w:t xml:space="preserve"> currently</w:t>
      </w:r>
      <w:r w:rsidRPr="009C1B6C">
        <w:rPr>
          <w:szCs w:val="20"/>
        </w:rPr>
        <w:t xml:space="preserve"> funded </w:t>
      </w:r>
      <w:r w:rsidR="00411920">
        <w:rPr>
          <w:szCs w:val="20"/>
        </w:rPr>
        <w:t xml:space="preserve">Center </w:t>
      </w:r>
      <w:r>
        <w:rPr>
          <w:szCs w:val="20"/>
        </w:rPr>
        <w:t xml:space="preserve">research </w:t>
      </w:r>
      <w:r w:rsidRPr="009C1B6C">
        <w:rPr>
          <w:szCs w:val="20"/>
        </w:rPr>
        <w:t xml:space="preserve">project to accelerate the project (such as funding an </w:t>
      </w:r>
      <w:r>
        <w:rPr>
          <w:szCs w:val="20"/>
        </w:rPr>
        <w:t>additional</w:t>
      </w:r>
      <w:r w:rsidRPr="009C1B6C">
        <w:rPr>
          <w:szCs w:val="20"/>
        </w:rPr>
        <w:t xml:space="preserve"> student for the project)</w:t>
      </w:r>
      <w:r w:rsidR="00D70818">
        <w:rPr>
          <w:szCs w:val="20"/>
        </w:rPr>
        <w:t>. 2/3 majority approval from the IAB is required to fund a project in this manner.</w:t>
      </w:r>
    </w:p>
    <w:p w14:paraId="754AA2DD" w14:textId="77777777" w:rsidR="000B1F1C" w:rsidRPr="00A05EC6" w:rsidRDefault="000B1F1C" w:rsidP="00D76572">
      <w:pPr>
        <w:numPr>
          <w:ilvl w:val="1"/>
          <w:numId w:val="20"/>
        </w:numPr>
      </w:pPr>
      <w:r>
        <w:rPr>
          <w:szCs w:val="20"/>
        </w:rPr>
        <w:t xml:space="preserve">A research project that </w:t>
      </w:r>
      <w:r w:rsidR="00D70818">
        <w:rPr>
          <w:szCs w:val="20"/>
        </w:rPr>
        <w:t>was proposed at the</w:t>
      </w:r>
      <w:r w:rsidR="00C641CA">
        <w:rPr>
          <w:szCs w:val="20"/>
        </w:rPr>
        <w:t xml:space="preserve"> most recent</w:t>
      </w:r>
      <w:r w:rsidR="00D70818">
        <w:rPr>
          <w:szCs w:val="20"/>
        </w:rPr>
        <w:t xml:space="preserve"> Spring IAB Meeting and </w:t>
      </w:r>
      <w:r>
        <w:rPr>
          <w:szCs w:val="20"/>
        </w:rPr>
        <w:t xml:space="preserve">went through the Level of Interest and Feedback Evaluation (LIFE) process but </w:t>
      </w:r>
      <w:r w:rsidR="00D70818">
        <w:rPr>
          <w:szCs w:val="20"/>
        </w:rPr>
        <w:t xml:space="preserve">was not selected for funding. 2/3 majority approval from the IAB is required to fund a project in this manner. </w:t>
      </w:r>
    </w:p>
    <w:p w14:paraId="4B56E169" w14:textId="77777777" w:rsidR="001D1030" w:rsidRPr="0068298E" w:rsidRDefault="001D1030" w:rsidP="00D76572">
      <w:pPr>
        <w:numPr>
          <w:ilvl w:val="1"/>
          <w:numId w:val="20"/>
        </w:numPr>
      </w:pPr>
      <w:r>
        <w:rPr>
          <w:szCs w:val="20"/>
        </w:rPr>
        <w:lastRenderedPageBreak/>
        <w:t xml:space="preserve">A new project within the scope and goals of CADMIM. In this case a Statement of Work, Budget, and Budget Justification must be reviewed by the IAB and approved by 2/3 majority quorum. </w:t>
      </w:r>
    </w:p>
    <w:p w14:paraId="5F124CFD" w14:textId="77777777" w:rsidR="0068298E" w:rsidRPr="00D76572" w:rsidRDefault="0068298E" w:rsidP="00D76572">
      <w:pPr>
        <w:numPr>
          <w:ilvl w:val="1"/>
          <w:numId w:val="20"/>
        </w:numPr>
      </w:pPr>
      <w:r>
        <w:rPr>
          <w:szCs w:val="20"/>
        </w:rPr>
        <w:t>Some combination of the above.</w:t>
      </w:r>
    </w:p>
    <w:p w14:paraId="5C206990" w14:textId="77777777" w:rsidR="002E365F" w:rsidRPr="002E365F" w:rsidRDefault="000B1F1C" w:rsidP="00D76572">
      <w:pPr>
        <w:numPr>
          <w:ilvl w:val="0"/>
          <w:numId w:val="20"/>
        </w:numPr>
      </w:pPr>
      <w:r>
        <w:rPr>
          <w:szCs w:val="20"/>
        </w:rPr>
        <w:t>Any additional memberships purchased will be subject to the same terms as the original membership.</w:t>
      </w:r>
    </w:p>
    <w:p w14:paraId="627EA97A" w14:textId="77777777" w:rsidR="00892655" w:rsidRDefault="00AB160B" w:rsidP="009C1B6C">
      <w:pPr>
        <w:pStyle w:val="Heading1"/>
      </w:pPr>
      <w:r>
        <w:t xml:space="preserve">Article 10: </w:t>
      </w:r>
      <w:r w:rsidR="009C1B6C">
        <w:tab/>
      </w:r>
      <w:r w:rsidR="00892655">
        <w:t>New University Affiliates</w:t>
      </w:r>
      <w:r w:rsidR="00F324AD">
        <w:t>, Academic Members,</w:t>
      </w:r>
      <w:r w:rsidR="00892655">
        <w:t xml:space="preserve"> and IAB Members</w:t>
      </w:r>
    </w:p>
    <w:p w14:paraId="3038AA4D" w14:textId="77777777" w:rsidR="00892655" w:rsidRDefault="00892655" w:rsidP="009C1B6C">
      <w:pPr>
        <w:numPr>
          <w:ilvl w:val="0"/>
          <w:numId w:val="11"/>
        </w:numPr>
        <w:ind w:left="720"/>
      </w:pPr>
      <w:r>
        <w:t xml:space="preserve">From time to time, new universities may request membership into the </w:t>
      </w:r>
      <w:r w:rsidR="00EA63E8">
        <w:t xml:space="preserve">Center </w:t>
      </w:r>
      <w:r>
        <w:t>as a</w:t>
      </w:r>
      <w:r w:rsidR="00F324AD">
        <w:t>n Academic Member</w:t>
      </w:r>
      <w:r w:rsidR="00CE03E2">
        <w:t xml:space="preserve"> (</w:t>
      </w:r>
      <w:r w:rsidR="003B75B9">
        <w:t>i.e. an official site)</w:t>
      </w:r>
      <w:r>
        <w:t xml:space="preserve">. </w:t>
      </w:r>
      <w:r w:rsidR="00F324AD">
        <w:t xml:space="preserve"> </w:t>
      </w:r>
      <w:r>
        <w:t xml:space="preserve">Each new university requesting membership shall initially obtain concurrence from the Center Director, </w:t>
      </w:r>
      <w:r w:rsidR="00FA3553">
        <w:t xml:space="preserve">Center Co-Director, </w:t>
      </w:r>
      <w:r>
        <w:t>Site Directors</w:t>
      </w:r>
      <w:r w:rsidR="003B75B9">
        <w:t>,</w:t>
      </w:r>
      <w:r>
        <w:t xml:space="preserve"> and the I/UCRC program manager at NSF prior to submitting a “Letter of Intent” to join </w:t>
      </w:r>
      <w:r w:rsidR="00FA3553">
        <w:t>the Center</w:t>
      </w:r>
      <w:r>
        <w:t xml:space="preserve">. Universities requesting membership as an </w:t>
      </w:r>
      <w:r w:rsidR="00F324AD">
        <w:t>Academic Member</w:t>
      </w:r>
      <w:r>
        <w:t xml:space="preserve"> must demonstrate their ability to perform synergistic research within the focused research areas of the Center and their willingness to work within the structure, policies and procedures of </w:t>
      </w:r>
      <w:r w:rsidR="00FA3553">
        <w:t>CADMIM</w:t>
      </w:r>
      <w:r>
        <w:t xml:space="preserve">. Upon concurrence by the Center, the new university requesting membership as an </w:t>
      </w:r>
      <w:r w:rsidR="00F324AD">
        <w:t>Academic Member</w:t>
      </w:r>
      <w:r>
        <w:t xml:space="preserve"> may </w:t>
      </w:r>
      <w:r w:rsidR="00F324AD">
        <w:t xml:space="preserve">move forward with an </w:t>
      </w:r>
      <w:r>
        <w:t xml:space="preserve">application </w:t>
      </w:r>
      <w:r w:rsidR="00F77795">
        <w:t>according to the</w:t>
      </w:r>
      <w:r>
        <w:t xml:space="preserve"> procedures of the current NSF I/UCRC program solicitation.</w:t>
      </w:r>
    </w:p>
    <w:p w14:paraId="08EA24EB" w14:textId="52326D6B" w:rsidR="00892655" w:rsidRDefault="00892655" w:rsidP="00FA3553">
      <w:pPr>
        <w:numPr>
          <w:ilvl w:val="1"/>
          <w:numId w:val="11"/>
        </w:numPr>
        <w:ind w:left="1440"/>
      </w:pPr>
      <w:r>
        <w:t xml:space="preserve">Each new </w:t>
      </w:r>
      <w:r w:rsidR="00D76572">
        <w:t xml:space="preserve">Academic Member </w:t>
      </w:r>
      <w:r>
        <w:t xml:space="preserve">needs to meet the minimum requirements </w:t>
      </w:r>
      <w:r w:rsidR="0094786B">
        <w:t>to recruit new IAB Members as</w:t>
      </w:r>
      <w:r>
        <w:t xml:space="preserve"> </w:t>
      </w:r>
      <w:r w:rsidR="000930AF">
        <w:t xml:space="preserve">specified in the NSF program solicitation </w:t>
      </w:r>
      <w:r>
        <w:t>to support their site. The</w:t>
      </w:r>
      <w:r w:rsidR="005F328F">
        <w:t xml:space="preserve"> </w:t>
      </w:r>
      <w:r w:rsidR="0094786B">
        <w:t xml:space="preserve">IAB </w:t>
      </w:r>
      <w:r w:rsidR="00D76572">
        <w:t>M</w:t>
      </w:r>
      <w:r>
        <w:t xml:space="preserve">embers </w:t>
      </w:r>
      <w:r w:rsidR="005F328F">
        <w:t xml:space="preserve">associated with the new site </w:t>
      </w:r>
      <w:r>
        <w:t xml:space="preserve">must be new members to </w:t>
      </w:r>
      <w:r w:rsidR="00FA3553">
        <w:t>CADMIM</w:t>
      </w:r>
      <w:r w:rsidR="00D76572">
        <w:t>. R</w:t>
      </w:r>
      <w:r>
        <w:t xml:space="preserve">ecruitment of </w:t>
      </w:r>
      <w:r w:rsidR="00F324AD">
        <w:t xml:space="preserve">an </w:t>
      </w:r>
      <w:r w:rsidR="0094786B">
        <w:t xml:space="preserve">IAB </w:t>
      </w:r>
      <w:r w:rsidR="00D76572">
        <w:t>M</w:t>
      </w:r>
      <w:r>
        <w:t xml:space="preserve">ember from existing sites will not be permitted unless </w:t>
      </w:r>
      <w:r w:rsidR="00D76572">
        <w:t xml:space="preserve">that </w:t>
      </w:r>
      <w:r w:rsidR="0094786B">
        <w:t xml:space="preserve">IAB </w:t>
      </w:r>
      <w:r w:rsidR="00D76572">
        <w:t xml:space="preserve">Member </w:t>
      </w:r>
      <w:r w:rsidR="00FA3553">
        <w:t xml:space="preserve">elects to </w:t>
      </w:r>
      <w:r>
        <w:t>fund an additional membership.</w:t>
      </w:r>
    </w:p>
    <w:p w14:paraId="1996EFCA" w14:textId="77777777" w:rsidR="00892655" w:rsidRDefault="00892655" w:rsidP="00EA63E8">
      <w:pPr>
        <w:numPr>
          <w:ilvl w:val="0"/>
          <w:numId w:val="11"/>
        </w:numPr>
        <w:ind w:left="720"/>
      </w:pPr>
      <w:r>
        <w:t xml:space="preserve">A new university requesting </w:t>
      </w:r>
      <w:r w:rsidR="00F324AD">
        <w:t xml:space="preserve">Academic </w:t>
      </w:r>
      <w:r w:rsidR="00D76572">
        <w:t>M</w:t>
      </w:r>
      <w:r>
        <w:t xml:space="preserve">embership into the </w:t>
      </w:r>
      <w:r w:rsidR="00FA3553">
        <w:t xml:space="preserve">Center </w:t>
      </w:r>
      <w:r>
        <w:t xml:space="preserve">shall review their research objectives and program plans, and obtain and submit within their Planning Grant Proposal a “Letter of Support” from the Site Director </w:t>
      </w:r>
      <w:r w:rsidR="007B67E0">
        <w:t xml:space="preserve">of </w:t>
      </w:r>
      <w:r>
        <w:t xml:space="preserve">each current </w:t>
      </w:r>
      <w:r w:rsidR="007B67E0">
        <w:t>Academic Member</w:t>
      </w:r>
      <w:r>
        <w:t>.</w:t>
      </w:r>
    </w:p>
    <w:p w14:paraId="4E79D67F" w14:textId="77777777" w:rsidR="00F324AD" w:rsidRDefault="00F324AD" w:rsidP="00EA63E8">
      <w:pPr>
        <w:numPr>
          <w:ilvl w:val="0"/>
          <w:numId w:val="11"/>
        </w:numPr>
        <w:ind w:left="720"/>
      </w:pPr>
      <w:r>
        <w:t>From time to time, a university</w:t>
      </w:r>
      <w:r w:rsidR="002D63B4">
        <w:t xml:space="preserve"> that is not an Academic Member (i.e. an official site)</w:t>
      </w:r>
      <w:r>
        <w:t xml:space="preserve"> may become an affiliated university of CADMIM</w:t>
      </w:r>
      <w:r w:rsidR="00920DBE">
        <w:t>. Faculty at the affiliated university may possess unique expertise that will greatly advance the mission and goals of CADMIM.</w:t>
      </w:r>
      <w:r>
        <w:t xml:space="preserve"> Faculty at affiliated universities must have a </w:t>
      </w:r>
      <w:r w:rsidR="00053CD0">
        <w:t xml:space="preserve">2/3 majority </w:t>
      </w:r>
      <w:r>
        <w:t>IAB-approved research project</w:t>
      </w:r>
      <w:r w:rsidR="00920DBE">
        <w:t xml:space="preserve">, which may or may not be in collaboration </w:t>
      </w:r>
      <w:r>
        <w:t xml:space="preserve">with existing CADMIM faculty at CADMIM Academic Member sites. </w:t>
      </w:r>
    </w:p>
    <w:p w14:paraId="3326B63B" w14:textId="77777777" w:rsidR="007B67E0" w:rsidRDefault="00920DBE" w:rsidP="007B67E0">
      <w:pPr>
        <w:numPr>
          <w:ilvl w:val="1"/>
          <w:numId w:val="11"/>
        </w:numPr>
        <w:ind w:left="1440"/>
      </w:pPr>
      <w:r>
        <w:t>R</w:t>
      </w:r>
      <w:r w:rsidR="007B67E0">
        <w:t xml:space="preserve">esearch projects </w:t>
      </w:r>
      <w:r>
        <w:t xml:space="preserve">involving affiliated universities </w:t>
      </w:r>
      <w:r w:rsidR="007B67E0">
        <w:t xml:space="preserve">must be formally presented at the </w:t>
      </w:r>
      <w:r>
        <w:t>S</w:t>
      </w:r>
      <w:r w:rsidR="007B67E0">
        <w:t xml:space="preserve">pring </w:t>
      </w:r>
      <w:r w:rsidR="005F328F">
        <w:t xml:space="preserve">Center </w:t>
      </w:r>
      <w:r w:rsidR="007B67E0">
        <w:t xml:space="preserve">IAB meeting and go through the process of </w:t>
      </w:r>
      <w:r>
        <w:t xml:space="preserve">IAB </w:t>
      </w:r>
      <w:r w:rsidR="007B67E0">
        <w:t>review and selection.</w:t>
      </w:r>
    </w:p>
    <w:p w14:paraId="6F29C514" w14:textId="77777777" w:rsidR="007B67E0" w:rsidRDefault="007B67E0" w:rsidP="007B67E0">
      <w:pPr>
        <w:numPr>
          <w:ilvl w:val="1"/>
          <w:numId w:val="11"/>
        </w:numPr>
        <w:ind w:left="1440"/>
      </w:pPr>
      <w:r>
        <w:t xml:space="preserve">Once the research project is approved by the IAB, a memorandum of understanding (MOU) is executed between the University of California, Irvine and the </w:t>
      </w:r>
      <w:r w:rsidR="00920DBE">
        <w:t xml:space="preserve">non-site </w:t>
      </w:r>
      <w:r>
        <w:t>university</w:t>
      </w:r>
      <w:r w:rsidR="005F328F">
        <w:t xml:space="preserve">. </w:t>
      </w:r>
      <w:r>
        <w:t xml:space="preserve">Once fully executed, the new university becomes an affiliated university of CADMIM. </w:t>
      </w:r>
    </w:p>
    <w:p w14:paraId="307A93B1" w14:textId="77777777" w:rsidR="007B67E0" w:rsidRDefault="007B67E0" w:rsidP="007B67E0">
      <w:pPr>
        <w:numPr>
          <w:ilvl w:val="1"/>
          <w:numId w:val="11"/>
        </w:numPr>
        <w:ind w:left="1440"/>
      </w:pPr>
      <w:r>
        <w:t xml:space="preserve">A subcontract agreement is then executed between University of California, Irvine and the affiliated university to transfer research funds to that university. </w:t>
      </w:r>
    </w:p>
    <w:p w14:paraId="6980B7DA" w14:textId="44756641" w:rsidR="00117B65" w:rsidRDefault="00892655" w:rsidP="00CA3D49">
      <w:r>
        <w:t>From time to time, new companies, corporations</w:t>
      </w:r>
      <w:r w:rsidR="00FA3553">
        <w:t>,</w:t>
      </w:r>
      <w:r>
        <w:t xml:space="preserve"> or organizations may request, or be requested, to join </w:t>
      </w:r>
      <w:r w:rsidR="00FA3553">
        <w:t xml:space="preserve">CADMIM </w:t>
      </w:r>
      <w:r>
        <w:t xml:space="preserve">as a new </w:t>
      </w:r>
      <w:r w:rsidR="00FA3553">
        <w:t xml:space="preserve">IAB </w:t>
      </w:r>
      <w:r>
        <w:t>member. These new companies, corporations</w:t>
      </w:r>
      <w:r w:rsidR="00FA3553">
        <w:t>,</w:t>
      </w:r>
      <w:r>
        <w:t xml:space="preserve"> or organizations may join </w:t>
      </w:r>
      <w:r w:rsidR="00FA3553">
        <w:t xml:space="preserve">CADMIM </w:t>
      </w:r>
      <w:r>
        <w:lastRenderedPageBreak/>
        <w:t xml:space="preserve">upon signing of the </w:t>
      </w:r>
      <w:r w:rsidR="00617BA8">
        <w:t xml:space="preserve">CADMIM </w:t>
      </w:r>
      <w:r w:rsidR="00920DBE">
        <w:t xml:space="preserve">I/UCRC Membership Agreement for </w:t>
      </w:r>
      <w:r w:rsidR="003302E2">
        <w:t>Industrial</w:t>
      </w:r>
      <w:r w:rsidR="00164569">
        <w:t xml:space="preserve">/Association </w:t>
      </w:r>
      <w:r w:rsidR="005B5B05">
        <w:t>Member</w:t>
      </w:r>
      <w:r w:rsidR="00164569">
        <w:t>s (as applicable)</w:t>
      </w:r>
      <w:r>
        <w:t>, acceptance of current Bylaws</w:t>
      </w:r>
      <w:r w:rsidR="00FA3553">
        <w:t>,</w:t>
      </w:r>
      <w:r>
        <w:t xml:space="preserve"> and payment of the annual membership fees. </w:t>
      </w:r>
    </w:p>
    <w:p w14:paraId="0A1A1C23" w14:textId="657D7FF1" w:rsidR="00C17845" w:rsidRDefault="000F7575" w:rsidP="00A87ADD">
      <w:pPr>
        <w:numPr>
          <w:ilvl w:val="1"/>
          <w:numId w:val="11"/>
        </w:numPr>
        <w:ind w:left="1440"/>
      </w:pPr>
      <w:r>
        <w:t xml:space="preserve">New </w:t>
      </w:r>
      <w:r w:rsidR="0094786B">
        <w:t>IAB Members</w:t>
      </w:r>
      <w:r>
        <w:t xml:space="preserve"> that join mid-year will have a pro-rated amount of their first year membership applied to their second year membership fees, and their year 2 invoice will be reduced accordingly </w:t>
      </w:r>
      <w:r w:rsidR="00117B65">
        <w:t>(to align them to the Center’s March 1 – February 28 fiscal cycle).</w:t>
      </w:r>
    </w:p>
    <w:p w14:paraId="26B61A72" w14:textId="3A7CF0E5" w:rsidR="00064D66" w:rsidRDefault="0061253B" w:rsidP="00A87ADD">
      <w:pPr>
        <w:numPr>
          <w:ilvl w:val="1"/>
          <w:numId w:val="11"/>
        </w:numPr>
        <w:ind w:left="1440"/>
      </w:pPr>
      <w:r>
        <w:t>First Year Membership Fee</w:t>
      </w:r>
      <w:r w:rsidR="00064D66">
        <w:t xml:space="preserve">: </w:t>
      </w:r>
      <w:r w:rsidR="00117B65">
        <w:t>A</w:t>
      </w:r>
      <w:r w:rsidR="00892655">
        <w:t xml:space="preserve">pplication </w:t>
      </w:r>
      <w:r w:rsidR="00A71021">
        <w:t xml:space="preserve">of the </w:t>
      </w:r>
      <w:r w:rsidR="00117B65">
        <w:t xml:space="preserve">first year’s </w:t>
      </w:r>
      <w:r w:rsidR="00892655">
        <w:t xml:space="preserve">membership fees </w:t>
      </w:r>
      <w:r w:rsidR="00064D66">
        <w:t xml:space="preserve">for any new </w:t>
      </w:r>
      <w:r w:rsidR="0094786B">
        <w:t>IAB</w:t>
      </w:r>
      <w:r w:rsidR="00AE3BCF">
        <w:t xml:space="preserve"> Member</w:t>
      </w:r>
      <w:r w:rsidR="00064D66">
        <w:t xml:space="preserve">, regardless of when in the calendar year they join, </w:t>
      </w:r>
      <w:r w:rsidR="00892655">
        <w:t xml:space="preserve">shall be </w:t>
      </w:r>
      <w:r w:rsidR="00A71021">
        <w:t xml:space="preserve">applied to (a) </w:t>
      </w:r>
      <w:r w:rsidR="00C66915">
        <w:t xml:space="preserve">one or more currently funded, </w:t>
      </w:r>
      <w:r w:rsidR="00892655">
        <w:t xml:space="preserve">existing research </w:t>
      </w:r>
      <w:r w:rsidR="00117B65">
        <w:t>project</w:t>
      </w:r>
      <w:r w:rsidR="00C66915">
        <w:t>(</w:t>
      </w:r>
      <w:r w:rsidR="00117B65">
        <w:t>s</w:t>
      </w:r>
      <w:r w:rsidR="00C66915">
        <w:t>)</w:t>
      </w:r>
      <w:r w:rsidR="00A71021">
        <w:t xml:space="preserve">, (b) </w:t>
      </w:r>
      <w:r w:rsidR="00062E7A">
        <w:t xml:space="preserve">a project that went through the LIFE process at the </w:t>
      </w:r>
      <w:r w:rsidR="00205882">
        <w:t>most recent S</w:t>
      </w:r>
      <w:r w:rsidR="00062E7A">
        <w:t>pring IAB Meeting but was not selected for funding</w:t>
      </w:r>
      <w:r w:rsidR="00A71021">
        <w:t>,</w:t>
      </w:r>
      <w:r w:rsidR="00062E7A">
        <w:t xml:space="preserve"> </w:t>
      </w:r>
      <w:r w:rsidR="00A71021">
        <w:t>(c)</w:t>
      </w:r>
      <w:r w:rsidR="00062E7A">
        <w:t xml:space="preserve"> </w:t>
      </w:r>
      <w:r w:rsidR="00892655">
        <w:t xml:space="preserve">a new “interim” research </w:t>
      </w:r>
      <w:r w:rsidR="00117B65">
        <w:t>project</w:t>
      </w:r>
      <w:r w:rsidR="00C66915">
        <w:t>, or (d) some combination of the above.</w:t>
      </w:r>
      <w:r w:rsidR="00A71021">
        <w:t xml:space="preserve"> Any action and/or an “interim” project must be a</w:t>
      </w:r>
      <w:r w:rsidR="00892655">
        <w:t xml:space="preserve">pproved by the Center Director, </w:t>
      </w:r>
      <w:r w:rsidR="00FA3553">
        <w:t xml:space="preserve">Center Co-Director, </w:t>
      </w:r>
      <w:r w:rsidR="00130B63">
        <w:t xml:space="preserve">and a 2/3 majority IAB quorum. </w:t>
      </w:r>
      <w:r w:rsidR="00892655">
        <w:t xml:space="preserve">The “interim” research </w:t>
      </w:r>
      <w:r w:rsidR="00117B65">
        <w:t xml:space="preserve">project </w:t>
      </w:r>
      <w:r w:rsidR="00892655">
        <w:t>is restricted to the first year of membership. Status reports, budgets</w:t>
      </w:r>
      <w:r w:rsidR="00FA3553">
        <w:t>,</w:t>
      </w:r>
      <w:r w:rsidR="00892655">
        <w:t xml:space="preserve"> and results would be available to </w:t>
      </w:r>
      <w:r w:rsidR="00117B65">
        <w:t>all</w:t>
      </w:r>
      <w:r w:rsidR="00892655">
        <w:t xml:space="preserve"> members</w:t>
      </w:r>
      <w:r w:rsidR="00FA3553">
        <w:t xml:space="preserve"> (i.e. </w:t>
      </w:r>
      <w:r w:rsidR="0094786B">
        <w:t xml:space="preserve">IAB </w:t>
      </w:r>
      <w:r w:rsidR="00064D66">
        <w:t>and Academic Members</w:t>
      </w:r>
      <w:r w:rsidR="00FA3553">
        <w:t>)</w:t>
      </w:r>
      <w:r w:rsidR="00C66915">
        <w:t xml:space="preserve"> and subject to the same terms and conditions as currently funded projects</w:t>
      </w:r>
      <w:r w:rsidR="00053CD0">
        <w:t>. C</w:t>
      </w:r>
      <w:r w:rsidR="00892655">
        <w:t xml:space="preserve">ontinued funding of the “interim” research </w:t>
      </w:r>
      <w:r w:rsidR="00117B65">
        <w:t xml:space="preserve">project </w:t>
      </w:r>
      <w:r w:rsidR="00892655">
        <w:t xml:space="preserve">is subject to </w:t>
      </w:r>
      <w:r w:rsidR="00053CD0">
        <w:t xml:space="preserve">2/3 majority </w:t>
      </w:r>
      <w:r w:rsidR="00892655">
        <w:t>IAB approval under the terms of these Bylaws.</w:t>
      </w:r>
    </w:p>
    <w:p w14:paraId="332155F1" w14:textId="22F1F1CE" w:rsidR="00892655" w:rsidRDefault="00064D66" w:rsidP="00A87ADD">
      <w:pPr>
        <w:numPr>
          <w:ilvl w:val="1"/>
          <w:numId w:val="11"/>
        </w:numPr>
        <w:ind w:left="1440"/>
      </w:pPr>
      <w:r>
        <w:t>By dictating the allocation of their first year’s membership fees</w:t>
      </w:r>
      <w:r w:rsidR="009262D4">
        <w:t xml:space="preserve"> as described in 4.b., above</w:t>
      </w:r>
      <w:r w:rsidR="00205882">
        <w:t>,</w:t>
      </w:r>
      <w:r>
        <w:t xml:space="preserve"> new </w:t>
      </w:r>
      <w:r w:rsidR="005E69C2">
        <w:t>IAB</w:t>
      </w:r>
      <w:r w:rsidR="00AE3BCF">
        <w:t xml:space="preserve"> Members </w:t>
      </w:r>
      <w:r w:rsidR="009262D4">
        <w:t>forego the ability to vote</w:t>
      </w:r>
      <w:r w:rsidR="00205882">
        <w:t xml:space="preserve"> at their first Spring IAB meeting. Voting will resume with the</w:t>
      </w:r>
      <w:r w:rsidR="002B48B0">
        <w:t xml:space="preserve">ir second Spring IAB meeting. </w:t>
      </w:r>
      <w:r w:rsidR="00205882">
        <w:t xml:space="preserve"> </w:t>
      </w:r>
      <w:r w:rsidR="00892655">
        <w:tab/>
      </w:r>
    </w:p>
    <w:p w14:paraId="20EABFD1" w14:textId="59278347" w:rsidR="00A02781" w:rsidRDefault="00892655" w:rsidP="00A02781">
      <w:pPr>
        <w:pStyle w:val="Heading1"/>
      </w:pPr>
      <w:r>
        <w:t>Article 1</w:t>
      </w:r>
      <w:r w:rsidR="00A02781">
        <w:t>1</w:t>
      </w:r>
      <w:r>
        <w:t>:</w:t>
      </w:r>
      <w:r>
        <w:tab/>
        <w:t>Reports</w:t>
      </w:r>
      <w:r w:rsidR="00C47F74">
        <w:t>, Project Closure,</w:t>
      </w:r>
      <w:r w:rsidR="001A67F0">
        <w:t xml:space="preserve"> and </w:t>
      </w:r>
      <w:r>
        <w:t>Interaction</w:t>
      </w:r>
      <w:r w:rsidR="001A67F0">
        <w:t>s</w:t>
      </w:r>
      <w:r>
        <w:tab/>
      </w:r>
    </w:p>
    <w:p w14:paraId="68CD706B" w14:textId="739C7843" w:rsidR="00892655" w:rsidRDefault="00892655" w:rsidP="00892655">
      <w:pPr>
        <w:numPr>
          <w:ilvl w:val="0"/>
          <w:numId w:val="12"/>
        </w:numPr>
      </w:pPr>
      <w:r>
        <w:t xml:space="preserve">The </w:t>
      </w:r>
      <w:r w:rsidR="00130B63">
        <w:t xml:space="preserve">Center </w:t>
      </w:r>
      <w:r>
        <w:t>will document and file minutes of IAB meetings with a copy</w:t>
      </w:r>
      <w:r w:rsidR="00CE353A">
        <w:t xml:space="preserve"> made available</w:t>
      </w:r>
      <w:r>
        <w:t xml:space="preserve"> to all </w:t>
      </w:r>
      <w:r w:rsidR="00130B63">
        <w:t xml:space="preserve">Academic </w:t>
      </w:r>
      <w:r w:rsidR="00394EB6">
        <w:t>and</w:t>
      </w:r>
      <w:r w:rsidR="00E52320">
        <w:t xml:space="preserve"> </w:t>
      </w:r>
      <w:r w:rsidR="00394EB6">
        <w:t>IAB</w:t>
      </w:r>
      <w:r w:rsidR="00130B63">
        <w:t xml:space="preserve"> Members.</w:t>
      </w:r>
    </w:p>
    <w:p w14:paraId="2C5E9B41" w14:textId="77777777" w:rsidR="00892655" w:rsidRDefault="00892655" w:rsidP="00892655">
      <w:pPr>
        <w:numPr>
          <w:ilvl w:val="0"/>
          <w:numId w:val="12"/>
        </w:numPr>
      </w:pPr>
      <w:r>
        <w:t xml:space="preserve">Each </w:t>
      </w:r>
      <w:r w:rsidR="00130B63">
        <w:t>Academic Member</w:t>
      </w:r>
      <w:r>
        <w:t xml:space="preserve"> will provide </w:t>
      </w:r>
      <w:r w:rsidR="00130B63">
        <w:t xml:space="preserve">to NSF </w:t>
      </w:r>
      <w:r>
        <w:t>an annual report and a final report at the end of the five year award that includes the Director’s Report, Evaluator’s Report</w:t>
      </w:r>
      <w:r w:rsidR="00FA3553">
        <w:t>,</w:t>
      </w:r>
      <w:r>
        <w:t xml:space="preserve"> and Certification of Membership from an authorized university official.</w:t>
      </w:r>
      <w:r w:rsidR="00130B63">
        <w:t xml:space="preserve"> These reports contain information on annual funds raised, milestones achieved, Center accomplishments, publications, invention disclosures, and lists of students and companies involved in the Center and center research. Copies of these reports can be provided to Industry Members upon request.</w:t>
      </w:r>
    </w:p>
    <w:p w14:paraId="4476D30C" w14:textId="77777777" w:rsidR="00C47F74" w:rsidRDefault="00C47F74" w:rsidP="00892655">
      <w:pPr>
        <w:numPr>
          <w:ilvl w:val="0"/>
          <w:numId w:val="12"/>
        </w:numPr>
      </w:pPr>
      <w:r w:rsidRPr="00C47F74">
        <w:rPr>
          <w:u w:val="single"/>
        </w:rPr>
        <w:t>Project reporting</w:t>
      </w:r>
      <w:r>
        <w:t>: The Site Directors and each Project Principal Investigator shall provide monthly project status updates to the Center Director, Center Co-Director, and the IAB in the form of quad-charts presented at a monthly IAB telecon/webcon.</w:t>
      </w:r>
      <w:r w:rsidRPr="00C47F74">
        <w:t xml:space="preserve"> </w:t>
      </w:r>
      <w:r>
        <w:t xml:space="preserve">Project status reports to the Center Director and </w:t>
      </w:r>
      <w:r w:rsidR="00130B63">
        <w:t xml:space="preserve">the NSF </w:t>
      </w:r>
      <w:r>
        <w:t xml:space="preserve">Program </w:t>
      </w:r>
      <w:r w:rsidR="00130B63">
        <w:t xml:space="preserve">Director </w:t>
      </w:r>
      <w:r>
        <w:t>may be requested as necessary.</w:t>
      </w:r>
      <w:r w:rsidR="000F2E12">
        <w:t xml:space="preserve"> Each project will have at least one </w:t>
      </w:r>
      <w:r w:rsidR="00F61EFB">
        <w:t xml:space="preserve">IAB mentor. Each project group -- </w:t>
      </w:r>
      <w:r w:rsidR="000F2E12">
        <w:t>Principal Investigator</w:t>
      </w:r>
      <w:r w:rsidR="00F61EFB">
        <w:t>(s)</w:t>
      </w:r>
      <w:r w:rsidR="000F2E12">
        <w:t>, IAB mentor(s), student</w:t>
      </w:r>
      <w:r w:rsidR="00F61EFB">
        <w:t>(</w:t>
      </w:r>
      <w:r w:rsidR="000F2E12">
        <w:t xml:space="preserve">s) </w:t>
      </w:r>
      <w:r w:rsidR="00F61EFB">
        <w:t xml:space="preserve">-- </w:t>
      </w:r>
      <w:r w:rsidR="000F2E12">
        <w:t>will hold monthly telecons/webcons</w:t>
      </w:r>
      <w:r w:rsidR="00F61EFB">
        <w:t xml:space="preserve"> for progress updates and </w:t>
      </w:r>
      <w:r w:rsidR="00F9136C">
        <w:t xml:space="preserve">project </w:t>
      </w:r>
      <w:r w:rsidR="00F61EFB">
        <w:t>guidance.</w:t>
      </w:r>
      <w:r w:rsidR="00130B63">
        <w:t xml:space="preserve"> All quad-charts will be distributed via email and posted on the secure portion (password-protected) of the Center web site. </w:t>
      </w:r>
    </w:p>
    <w:p w14:paraId="1D8B434F" w14:textId="77777777" w:rsidR="00892655" w:rsidRDefault="00C47F74" w:rsidP="00892655">
      <w:pPr>
        <w:numPr>
          <w:ilvl w:val="0"/>
          <w:numId w:val="12"/>
        </w:numPr>
      </w:pPr>
      <w:r w:rsidRPr="00C47F74">
        <w:rPr>
          <w:u w:val="single"/>
        </w:rPr>
        <w:t>Project Clo</w:t>
      </w:r>
      <w:r>
        <w:rPr>
          <w:u w:val="single"/>
        </w:rPr>
        <w:t>sure</w:t>
      </w:r>
      <w:r>
        <w:t>: Each</w:t>
      </w:r>
      <w:r w:rsidR="00892655">
        <w:t xml:space="preserve"> Project Principal Investigator shall</w:t>
      </w:r>
      <w:r>
        <w:t xml:space="preserve"> provide a </w:t>
      </w:r>
      <w:r w:rsidR="007E5DE6">
        <w:t xml:space="preserve">final </w:t>
      </w:r>
      <w:r>
        <w:t xml:space="preserve">project </w:t>
      </w:r>
      <w:r w:rsidR="007E5DE6">
        <w:t xml:space="preserve">close-out </w:t>
      </w:r>
      <w:r>
        <w:t xml:space="preserve">report </w:t>
      </w:r>
      <w:r w:rsidR="00130B63">
        <w:t xml:space="preserve">upon closure </w:t>
      </w:r>
      <w:r w:rsidR="00892655">
        <w:t xml:space="preserve">of the respective research projects. </w:t>
      </w:r>
      <w:r w:rsidR="00AD188E">
        <w:t xml:space="preserve">A publication or invention disclosure resulting from the project can also serve as a close-out report. </w:t>
      </w:r>
      <w:r w:rsidR="00892655">
        <w:t>These reports will be distributed via the</w:t>
      </w:r>
      <w:r w:rsidR="00130B63">
        <w:t xml:space="preserve"> secure portion (password-protected) of the</w:t>
      </w:r>
      <w:r w:rsidR="00892655">
        <w:t xml:space="preserve"> Center web site with email notification as required.</w:t>
      </w:r>
    </w:p>
    <w:p w14:paraId="02A20046" w14:textId="77777777" w:rsidR="00892655" w:rsidRDefault="00892655" w:rsidP="00892655">
      <w:pPr>
        <w:numPr>
          <w:ilvl w:val="1"/>
          <w:numId w:val="12"/>
        </w:numPr>
      </w:pPr>
      <w:r>
        <w:lastRenderedPageBreak/>
        <w:t xml:space="preserve">A final </w:t>
      </w:r>
      <w:r w:rsidR="007E5DE6">
        <w:t xml:space="preserve">close-out </w:t>
      </w:r>
      <w:r>
        <w:t>report will be submitted to the Center Director and posted on the Center web site within thirty (30) days of a project’s end date. The project’s end date is typically the end of the</w:t>
      </w:r>
      <w:r w:rsidR="00AD188E">
        <w:t xml:space="preserve"> CADMIM</w:t>
      </w:r>
      <w:r>
        <w:t xml:space="preserve"> fiscal year, or other date as agreed to by the IAB and documented in the project’s Executive Summary.</w:t>
      </w:r>
    </w:p>
    <w:p w14:paraId="1BF1375A" w14:textId="5D5D099D" w:rsidR="00892655" w:rsidRDefault="00892655" w:rsidP="00892655">
      <w:pPr>
        <w:numPr>
          <w:ilvl w:val="1"/>
          <w:numId w:val="12"/>
        </w:numPr>
      </w:pPr>
      <w:r>
        <w:t xml:space="preserve">Each </w:t>
      </w:r>
      <w:r w:rsidR="00853003">
        <w:t>IAB</w:t>
      </w:r>
      <w:r w:rsidR="009610EB">
        <w:t xml:space="preserve"> </w:t>
      </w:r>
      <w:r w:rsidR="00D46206">
        <w:t>m</w:t>
      </w:r>
      <w:r w:rsidR="009610EB">
        <w:t>ember</w:t>
      </w:r>
      <w:r>
        <w:t xml:space="preserve"> will have forty-five (45) days after receipt of the final report to declare in writing to the Center Director and Site Director for the project any intention to pursue direct sponsored research on that project, outside of the I/UCRC. Such </w:t>
      </w:r>
      <w:r w:rsidR="00C91603">
        <w:t>d</w:t>
      </w:r>
      <w:r>
        <w:t>eclaring</w:t>
      </w:r>
      <w:r w:rsidR="009610EB">
        <w:t xml:space="preserve"> </w:t>
      </w:r>
      <w:r w:rsidR="00853003">
        <w:t>IAB</w:t>
      </w:r>
      <w:r w:rsidR="009610EB">
        <w:t xml:space="preserve"> </w:t>
      </w:r>
      <w:r w:rsidR="00D46206">
        <w:t>m</w:t>
      </w:r>
      <w:r>
        <w:t xml:space="preserve">ember(s) and the </w:t>
      </w:r>
      <w:r w:rsidR="0071117B">
        <w:t>Academic Member</w:t>
      </w:r>
      <w:r>
        <w:t xml:space="preserve"> would have an additional sixty</w:t>
      </w:r>
      <w:r w:rsidR="001A67F0">
        <w:t xml:space="preserve"> (60)</w:t>
      </w:r>
      <w:r>
        <w:t xml:space="preserve"> days to </w:t>
      </w:r>
      <w:r w:rsidR="009610EB">
        <w:t>execute</w:t>
      </w:r>
      <w:r>
        <w:t xml:space="preserve"> sponsored research agreements. If more than one </w:t>
      </w:r>
      <w:r w:rsidR="001F0296">
        <w:t>IAB</w:t>
      </w:r>
      <w:r w:rsidR="007E5DE6" w:rsidDel="007E5DE6">
        <w:t xml:space="preserve"> </w:t>
      </w:r>
      <w:r w:rsidR="007E5DE6">
        <w:t>m</w:t>
      </w:r>
      <w:r>
        <w:t>ember declares an intention to pursue direct sponsored research on a project, such agreements may be finalized separately.</w:t>
      </w:r>
    </w:p>
    <w:p w14:paraId="0FE53AD6" w14:textId="77777777" w:rsidR="00892655" w:rsidRDefault="00892655" w:rsidP="00892655">
      <w:pPr>
        <w:numPr>
          <w:ilvl w:val="2"/>
          <w:numId w:val="12"/>
        </w:numPr>
      </w:pPr>
      <w:r>
        <w:t>Sponsored research agreements would include non-disclosure provisions and a “firewall” with respect to any other I/UCRC related research.</w:t>
      </w:r>
    </w:p>
    <w:p w14:paraId="680EE4A1" w14:textId="77777777" w:rsidR="00892655" w:rsidRDefault="00892655" w:rsidP="00892655">
      <w:pPr>
        <w:numPr>
          <w:ilvl w:val="2"/>
          <w:numId w:val="12"/>
        </w:numPr>
      </w:pPr>
      <w:r>
        <w:t>As a courtesy to other IAB members, on completion of a sponsored research agreement, a high level announcement will be made to the IAB.</w:t>
      </w:r>
    </w:p>
    <w:p w14:paraId="1E65D9DE" w14:textId="70E7AE39" w:rsidR="00892655" w:rsidRDefault="00892655" w:rsidP="00892655">
      <w:pPr>
        <w:numPr>
          <w:ilvl w:val="1"/>
          <w:numId w:val="12"/>
        </w:numPr>
      </w:pPr>
      <w:r>
        <w:t xml:space="preserve">Should no </w:t>
      </w:r>
      <w:r w:rsidR="001F0296">
        <w:t>IAB</w:t>
      </w:r>
      <w:r w:rsidR="00E22300">
        <w:t xml:space="preserve"> m</w:t>
      </w:r>
      <w:r w:rsidR="0071117B">
        <w:t xml:space="preserve">ember </w:t>
      </w:r>
      <w:r>
        <w:t xml:space="preserve">declare an intention to pursue direct sponsored research within forty-five </w:t>
      </w:r>
      <w:r w:rsidR="001A67F0">
        <w:t xml:space="preserve">(45) </w:t>
      </w:r>
      <w:r>
        <w:t xml:space="preserve">days or, if declared, fail to execute a sponsored research agreement within an additional sixty </w:t>
      </w:r>
      <w:r w:rsidR="001A67F0">
        <w:t xml:space="preserve">(60) </w:t>
      </w:r>
      <w:r>
        <w:t xml:space="preserve">days, then the </w:t>
      </w:r>
      <w:r w:rsidR="0071117B">
        <w:t>Academic Member</w:t>
      </w:r>
      <w:r>
        <w:t xml:space="preserve"> is free to engage non-</w:t>
      </w:r>
      <w:r w:rsidR="0071117B">
        <w:t xml:space="preserve">CADMIM </w:t>
      </w:r>
      <w:r w:rsidR="00E22300">
        <w:t xml:space="preserve">entities </w:t>
      </w:r>
      <w:r>
        <w:t xml:space="preserve">in research related to that project, provided that the terms of such engagement or agreement </w:t>
      </w:r>
      <w:r w:rsidR="000444F8">
        <w:t>are</w:t>
      </w:r>
      <w:r>
        <w:t xml:space="preserve"> no more favorable to the non-</w:t>
      </w:r>
      <w:r w:rsidR="00E22300">
        <w:t>CADMIM</w:t>
      </w:r>
      <w:r>
        <w:t xml:space="preserve"> </w:t>
      </w:r>
      <w:r w:rsidR="00E22300">
        <w:t xml:space="preserve">entity </w:t>
      </w:r>
      <w:r>
        <w:t xml:space="preserve">than those proposed by the </w:t>
      </w:r>
      <w:r w:rsidR="00E22300">
        <w:t>Academic Member</w:t>
      </w:r>
      <w:r>
        <w:t xml:space="preserve"> to any </w:t>
      </w:r>
      <w:r w:rsidR="00D46206">
        <w:t xml:space="preserve">declaring </w:t>
      </w:r>
      <w:r w:rsidR="00853003">
        <w:t>IAB</w:t>
      </w:r>
      <w:r w:rsidR="00D46206">
        <w:t xml:space="preserve"> m</w:t>
      </w:r>
      <w:r>
        <w:t>ember.</w:t>
      </w:r>
    </w:p>
    <w:p w14:paraId="4463EA45" w14:textId="506104D3" w:rsidR="00892655" w:rsidRDefault="00892655" w:rsidP="00892655">
      <w:pPr>
        <w:numPr>
          <w:ilvl w:val="1"/>
          <w:numId w:val="12"/>
        </w:numPr>
      </w:pPr>
      <w:r>
        <w:t>Regardless of a project</w:t>
      </w:r>
      <w:r w:rsidR="009B35DF">
        <w:t>’</w:t>
      </w:r>
      <w:r>
        <w:t xml:space="preserve">s status within the I/UCRC, </w:t>
      </w:r>
      <w:r w:rsidR="001F0296">
        <w:t>IAB</w:t>
      </w:r>
      <w:r w:rsidR="00E22300">
        <w:t xml:space="preserve"> </w:t>
      </w:r>
      <w:r>
        <w:t xml:space="preserve">members may negotiate with the appropriate </w:t>
      </w:r>
      <w:r w:rsidR="00E22300">
        <w:t>Academic Member</w:t>
      </w:r>
      <w:r>
        <w:t xml:space="preserve"> </w:t>
      </w:r>
      <w:r w:rsidR="009610EB">
        <w:t>to license</w:t>
      </w:r>
      <w:r>
        <w:t xml:space="preserve"> inventions related to a project that </w:t>
      </w:r>
      <w:r w:rsidR="009610EB">
        <w:t xml:space="preserve">were first developed and reduced to practice </w:t>
      </w:r>
      <w:r>
        <w:t>prior to a project</w:t>
      </w:r>
      <w:r w:rsidR="009B35DF">
        <w:t>’</w:t>
      </w:r>
      <w:r>
        <w:t xml:space="preserve">s </w:t>
      </w:r>
      <w:r w:rsidR="009B35DF">
        <w:t xml:space="preserve">active </w:t>
      </w:r>
      <w:r>
        <w:t>funding date</w:t>
      </w:r>
      <w:r w:rsidR="009B35DF">
        <w:t xml:space="preserve"> at the Center</w:t>
      </w:r>
      <w:r w:rsidR="009610EB">
        <w:t xml:space="preserve"> as evidenced by an invention disclosure</w:t>
      </w:r>
      <w:r w:rsidR="009B35DF">
        <w:t xml:space="preserve"> (i.e.</w:t>
      </w:r>
      <w:r w:rsidR="00043685">
        <w:t>,</w:t>
      </w:r>
      <w:r w:rsidR="009B35DF">
        <w:t xml:space="preserve"> any prior work or related work not funded by CADMIM)</w:t>
      </w:r>
      <w:r>
        <w:t>.</w:t>
      </w:r>
    </w:p>
    <w:p w14:paraId="481F43FD" w14:textId="54BE8CBD" w:rsidR="00A02781" w:rsidRPr="001C4D54" w:rsidRDefault="00892655" w:rsidP="001C4D54">
      <w:pPr>
        <w:numPr>
          <w:ilvl w:val="0"/>
          <w:numId w:val="12"/>
        </w:numPr>
      </w:pPr>
      <w:r>
        <w:t xml:space="preserve">The Center will issue notices of </w:t>
      </w:r>
      <w:r w:rsidR="00A87ADD">
        <w:t xml:space="preserve">planned </w:t>
      </w:r>
      <w:r>
        <w:t xml:space="preserve">publication, </w:t>
      </w:r>
      <w:r w:rsidR="00840301">
        <w:t xml:space="preserve">invention </w:t>
      </w:r>
      <w:r>
        <w:t>disclosures</w:t>
      </w:r>
      <w:r w:rsidR="00840301">
        <w:t>,</w:t>
      </w:r>
      <w:r>
        <w:t xml:space="preserve"> and</w:t>
      </w:r>
      <w:r w:rsidR="00201457">
        <w:t xml:space="preserve"> available</w:t>
      </w:r>
      <w:r>
        <w:t xml:space="preserve"> copyright</w:t>
      </w:r>
      <w:r w:rsidR="00201457">
        <w:t>ed works of authorship</w:t>
      </w:r>
      <w:r>
        <w:t xml:space="preserve"> to</w:t>
      </w:r>
      <w:r w:rsidR="00C91603">
        <w:t xml:space="preserve"> the</w:t>
      </w:r>
      <w:r>
        <w:t xml:space="preserve"> </w:t>
      </w:r>
      <w:r w:rsidR="00C91603">
        <w:t xml:space="preserve">IAB </w:t>
      </w:r>
      <w:r w:rsidR="00A87ADD">
        <w:t>M</w:t>
      </w:r>
      <w:r>
        <w:t>embers.</w:t>
      </w:r>
      <w:r w:rsidR="00840301">
        <w:t xml:space="preserve"> The exclusive review period for these items are stated in the </w:t>
      </w:r>
      <w:r w:rsidR="00AD188E">
        <w:t xml:space="preserve">CADMIM I/UCRC Membership Agreement for </w:t>
      </w:r>
      <w:r w:rsidR="00B759EE">
        <w:t>Industrial</w:t>
      </w:r>
      <w:r w:rsidR="00C91603">
        <w:t>/Association</w:t>
      </w:r>
      <w:r w:rsidR="00B759EE">
        <w:t xml:space="preserve"> </w:t>
      </w:r>
      <w:r w:rsidR="005B5B05">
        <w:t>Member</w:t>
      </w:r>
      <w:r w:rsidR="00C91603">
        <w:t xml:space="preserve">s </w:t>
      </w:r>
      <w:r w:rsidR="00AD188E">
        <w:t>and in these Bylaws.</w:t>
      </w:r>
    </w:p>
    <w:p w14:paraId="72802277" w14:textId="77777777" w:rsidR="00A02781" w:rsidRDefault="00A02781" w:rsidP="00A02781">
      <w:pPr>
        <w:rPr>
          <w:rFonts w:eastAsia="Times New Roman"/>
          <w:bCs/>
          <w:szCs w:val="20"/>
        </w:rPr>
      </w:pPr>
      <w:r>
        <w:rPr>
          <w:b/>
          <w:sz w:val="22"/>
        </w:rPr>
        <w:t>Article 12</w:t>
      </w:r>
      <w:r w:rsidRPr="000841D0">
        <w:rPr>
          <w:b/>
          <w:sz w:val="22"/>
        </w:rPr>
        <w:t>:</w:t>
      </w:r>
      <w:r w:rsidRPr="000841D0">
        <w:rPr>
          <w:b/>
          <w:sz w:val="22"/>
        </w:rPr>
        <w:tab/>
      </w:r>
      <w:r>
        <w:rPr>
          <w:b/>
          <w:sz w:val="22"/>
        </w:rPr>
        <w:t>Confidentiality</w:t>
      </w:r>
    </w:p>
    <w:p w14:paraId="38B71C1A" w14:textId="57521806" w:rsidR="00F628D8" w:rsidRDefault="00F628D8" w:rsidP="00A02781">
      <w:pPr>
        <w:numPr>
          <w:ilvl w:val="0"/>
          <w:numId w:val="21"/>
        </w:numPr>
      </w:pPr>
      <w:r>
        <w:t>In this document, the term “confidential infor</w:t>
      </w:r>
      <w:r w:rsidRPr="000B54D1">
        <w:t>mation”</w:t>
      </w:r>
      <w:r>
        <w:t xml:space="preserve"> pertains to the</w:t>
      </w:r>
      <w:r w:rsidRPr="000B54D1">
        <w:t xml:space="preserve"> research findings of the participating </w:t>
      </w:r>
      <w:r>
        <w:t>Academic Members, in both oral and written form, supported by the membership fees</w:t>
      </w:r>
      <w:r w:rsidR="005B720E">
        <w:t xml:space="preserve"> and contributions</w:t>
      </w:r>
      <w:r>
        <w:t xml:space="preserve"> of the </w:t>
      </w:r>
      <w:r w:rsidR="00C91603">
        <w:t xml:space="preserve">IAB </w:t>
      </w:r>
      <w:r>
        <w:t xml:space="preserve">Members. </w:t>
      </w:r>
      <w:r w:rsidR="005B720E" w:rsidRPr="0086106C">
        <w:rPr>
          <w:u w:val="single"/>
        </w:rPr>
        <w:t>Any information found on the CADMIM Secure Website is also considered confidential information</w:t>
      </w:r>
      <w:r w:rsidR="005B720E">
        <w:t xml:space="preserve">. </w:t>
      </w:r>
      <w:r w:rsidR="00713755">
        <w:t>For the purposes of these Bylaws, Confidential Information does not include any proprietary research findings that were developed outside the realm of CADMIM using non-CADMIM funding. </w:t>
      </w:r>
    </w:p>
    <w:p w14:paraId="63BDE86F" w14:textId="3029EBFB" w:rsidR="00A02781" w:rsidRDefault="00A02781" w:rsidP="00A02781">
      <w:pPr>
        <w:numPr>
          <w:ilvl w:val="0"/>
          <w:numId w:val="21"/>
        </w:numPr>
      </w:pPr>
      <w:r>
        <w:t xml:space="preserve">Periodically these documents will be circulated to the </w:t>
      </w:r>
      <w:r w:rsidR="00C91603">
        <w:t xml:space="preserve">IAB </w:t>
      </w:r>
      <w:r>
        <w:t>Members for review:</w:t>
      </w:r>
    </w:p>
    <w:p w14:paraId="078AE61C" w14:textId="77777777" w:rsidR="00A02781" w:rsidRPr="0023735D" w:rsidRDefault="00A02781" w:rsidP="00A02781">
      <w:pPr>
        <w:numPr>
          <w:ilvl w:val="1"/>
          <w:numId w:val="21"/>
        </w:numPr>
      </w:pPr>
      <w:r w:rsidRPr="00961AF2">
        <w:rPr>
          <w:u w:val="single"/>
        </w:rPr>
        <w:lastRenderedPageBreak/>
        <w:t xml:space="preserve">Conference </w:t>
      </w:r>
      <w:r>
        <w:rPr>
          <w:u w:val="single"/>
        </w:rPr>
        <w:t xml:space="preserve">and Journal </w:t>
      </w:r>
      <w:r w:rsidRPr="00961AF2">
        <w:rPr>
          <w:u w:val="single"/>
        </w:rPr>
        <w:t>papers</w:t>
      </w:r>
      <w:r>
        <w:t>: Subject to exclusive review period of thirty (30) days. See Article 13.</w:t>
      </w:r>
    </w:p>
    <w:p w14:paraId="76AA7658" w14:textId="77777777" w:rsidR="00A02781" w:rsidRDefault="00A02781" w:rsidP="00A02781">
      <w:pPr>
        <w:numPr>
          <w:ilvl w:val="1"/>
          <w:numId w:val="21"/>
        </w:numPr>
      </w:pPr>
      <w:r>
        <w:rPr>
          <w:u w:val="single"/>
        </w:rPr>
        <w:t>Invention disclosures and provisional patents</w:t>
      </w:r>
      <w:r>
        <w:t>: Subject to exclusive review period of sixty (60) days. See Article 14.</w:t>
      </w:r>
    </w:p>
    <w:p w14:paraId="048AF453" w14:textId="77777777" w:rsidR="007D5161" w:rsidRPr="008E3D79" w:rsidRDefault="00A02781" w:rsidP="007D5161">
      <w:pPr>
        <w:numPr>
          <w:ilvl w:val="0"/>
          <w:numId w:val="21"/>
        </w:numPr>
      </w:pPr>
      <w:r w:rsidRPr="002F3304">
        <w:t>During any review period all abstracts, manuscripts, invention disclosures, and patent applications must be treated as confidential information</w:t>
      </w:r>
      <w:r w:rsidR="00281937" w:rsidRPr="002F3304">
        <w:t>.</w:t>
      </w:r>
      <w:r w:rsidRPr="002F3304">
        <w:t xml:space="preserve"> </w:t>
      </w:r>
      <w:r w:rsidR="00281937" w:rsidRPr="008E3D79">
        <w:t xml:space="preserve">Recipient </w:t>
      </w:r>
      <w:r w:rsidR="007D5161" w:rsidRPr="008E3D79">
        <w:t>of confidential information hereby agrees:</w:t>
      </w:r>
    </w:p>
    <w:p w14:paraId="61CBCC6C" w14:textId="77777777" w:rsidR="007D5161" w:rsidRPr="008E3D79" w:rsidRDefault="007D5161" w:rsidP="002F3304">
      <w:pPr>
        <w:numPr>
          <w:ilvl w:val="1"/>
          <w:numId w:val="21"/>
        </w:numPr>
      </w:pPr>
      <w:r w:rsidRPr="008E3D79">
        <w:t>to safeguard confidential information against disclosure to others with the same degree of care as it exercises with its own proprietary information; and</w:t>
      </w:r>
    </w:p>
    <w:p w14:paraId="626E34E2" w14:textId="77777777" w:rsidR="007D5161" w:rsidRPr="008E3D79" w:rsidRDefault="007D5161" w:rsidP="002F3304">
      <w:pPr>
        <w:numPr>
          <w:ilvl w:val="1"/>
          <w:numId w:val="21"/>
        </w:numPr>
      </w:pPr>
      <w:r w:rsidRPr="008E3D79">
        <w:t xml:space="preserve">not to disclose confidential information to others (except to its employees, agents, or consultants who are bound </w:t>
      </w:r>
      <w:r w:rsidR="00043685">
        <w:t>by</w:t>
      </w:r>
      <w:r w:rsidR="00043685" w:rsidRPr="008E3D79">
        <w:t xml:space="preserve"> </w:t>
      </w:r>
      <w:r w:rsidR="00281937" w:rsidRPr="008E3D79">
        <w:t xml:space="preserve">recipient </w:t>
      </w:r>
      <w:r w:rsidR="00043685">
        <w:t>with equivalent</w:t>
      </w:r>
      <w:r w:rsidRPr="008E3D79">
        <w:t xml:space="preserve"> confidentiality</w:t>
      </w:r>
      <w:r w:rsidR="00043685">
        <w:t xml:space="preserve"> terms</w:t>
      </w:r>
      <w:r w:rsidRPr="008E3D79">
        <w:t xml:space="preserve">), except that </w:t>
      </w:r>
      <w:r w:rsidR="00281937" w:rsidRPr="008E3D79">
        <w:t xml:space="preserve">recipient </w:t>
      </w:r>
      <w:r w:rsidRPr="008E3D79">
        <w:t>shall not be prevented from using or disclosing any of the confidential information:</w:t>
      </w:r>
    </w:p>
    <w:p w14:paraId="38EFA04A" w14:textId="2D2A05CE" w:rsidR="007D5161" w:rsidRPr="008E3D79" w:rsidRDefault="007D5161" w:rsidP="002F3304">
      <w:pPr>
        <w:numPr>
          <w:ilvl w:val="2"/>
          <w:numId w:val="21"/>
        </w:numPr>
      </w:pPr>
      <w:r w:rsidRPr="008E3D79">
        <w:t xml:space="preserve">which </w:t>
      </w:r>
      <w:r w:rsidR="00B16A84">
        <w:t>recipient</w:t>
      </w:r>
      <w:r w:rsidR="00B16A84" w:rsidRPr="008E3D79">
        <w:t xml:space="preserve"> </w:t>
      </w:r>
      <w:r w:rsidRPr="008E3D79">
        <w:t>can demonstrate by written records was previously known to it;</w:t>
      </w:r>
    </w:p>
    <w:p w14:paraId="5BE4F6B8" w14:textId="402D6CD4" w:rsidR="007D5161" w:rsidRPr="008E3D79" w:rsidRDefault="007D5161" w:rsidP="002F3304">
      <w:pPr>
        <w:numPr>
          <w:ilvl w:val="2"/>
          <w:numId w:val="21"/>
        </w:numPr>
      </w:pPr>
      <w:r w:rsidRPr="008E3D79">
        <w:t xml:space="preserve">which is now, or becomes in the future, public knowledge other than through acts or omissions of </w:t>
      </w:r>
      <w:r w:rsidR="00B16A84">
        <w:t>recipient</w:t>
      </w:r>
      <w:r w:rsidRPr="008E3D79">
        <w:t>; or</w:t>
      </w:r>
    </w:p>
    <w:p w14:paraId="79D9E7C0" w14:textId="29B4D550" w:rsidR="007D5161" w:rsidRDefault="007D5161" w:rsidP="002F3304">
      <w:pPr>
        <w:numPr>
          <w:ilvl w:val="2"/>
          <w:numId w:val="21"/>
        </w:numPr>
      </w:pPr>
      <w:r w:rsidRPr="008E3D79">
        <w:t xml:space="preserve">which is lawfully obtained by </w:t>
      </w:r>
      <w:r w:rsidR="00B16A84">
        <w:t>recipient</w:t>
      </w:r>
      <w:r w:rsidR="00B16A84" w:rsidRPr="008E3D79">
        <w:t xml:space="preserve"> </w:t>
      </w:r>
      <w:r w:rsidRPr="008E3D79">
        <w:t>from sources independent of the discloser.</w:t>
      </w:r>
    </w:p>
    <w:p w14:paraId="379CBB12" w14:textId="77777777" w:rsidR="003A2D65" w:rsidRPr="008E3D79" w:rsidRDefault="003A2D65" w:rsidP="0086106C">
      <w:pPr>
        <w:numPr>
          <w:ilvl w:val="1"/>
          <w:numId w:val="21"/>
        </w:numPr>
      </w:pPr>
      <w:r>
        <w:t>To uphold the obligation of confidentiality throughout the membership and for a period of five (5) years following termination of recip</w:t>
      </w:r>
      <w:r w:rsidR="0086106C">
        <w:t>ie</w:t>
      </w:r>
      <w:r>
        <w:t>nt’s membership agreement, regardless of the reason for termination.</w:t>
      </w:r>
    </w:p>
    <w:p w14:paraId="1FB3376F" w14:textId="4A7275EA" w:rsidR="00A02781" w:rsidRDefault="00CC0085" w:rsidP="00A573A4">
      <w:pPr>
        <w:numPr>
          <w:ilvl w:val="0"/>
          <w:numId w:val="21"/>
        </w:numPr>
        <w:spacing w:after="0" w:line="260" w:lineRule="atLeast"/>
        <w:rPr>
          <w:szCs w:val="20"/>
        </w:rPr>
      </w:pPr>
      <w:r w:rsidRPr="001C4D54">
        <w:t>The CA</w:t>
      </w:r>
      <w:r w:rsidRPr="008E3D79">
        <w:t xml:space="preserve">DMIM membership agreement </w:t>
      </w:r>
      <w:r w:rsidR="005B720E">
        <w:t xml:space="preserve">and these bylaws </w:t>
      </w:r>
      <w:r w:rsidR="00C23CDA" w:rsidRPr="008E3D79">
        <w:t xml:space="preserve">contain confidentiality provisions to protect the </w:t>
      </w:r>
      <w:r w:rsidR="00281937" w:rsidRPr="008E3D79">
        <w:t xml:space="preserve">intellectual property and </w:t>
      </w:r>
      <w:r w:rsidRPr="008E3D79">
        <w:t xml:space="preserve">unpublished research results </w:t>
      </w:r>
      <w:r w:rsidR="00C23CDA" w:rsidRPr="008E3D79">
        <w:t xml:space="preserve">disclosed by participating faculty </w:t>
      </w:r>
      <w:r w:rsidRPr="008E3D79">
        <w:t xml:space="preserve">to the </w:t>
      </w:r>
      <w:r w:rsidR="001F0296">
        <w:t>IAB</w:t>
      </w:r>
      <w:r w:rsidR="00B16A84">
        <w:t xml:space="preserve"> Members</w:t>
      </w:r>
      <w:r w:rsidRPr="008E3D79">
        <w:t>. However, the CADMIM membership agreement does not protect confidential inf</w:t>
      </w:r>
      <w:r w:rsidRPr="001C4D54">
        <w:t xml:space="preserve">ormation shared by the </w:t>
      </w:r>
      <w:r w:rsidR="00C07DD8">
        <w:t>IAB</w:t>
      </w:r>
      <w:r w:rsidR="004D4DAC">
        <w:t xml:space="preserve"> </w:t>
      </w:r>
      <w:r w:rsidR="005B720E">
        <w:t>Members</w:t>
      </w:r>
      <w:r w:rsidRPr="001C4D54">
        <w:t xml:space="preserve"> with the faculty. If </w:t>
      </w:r>
      <w:r w:rsidR="00FE4225">
        <w:t xml:space="preserve">an </w:t>
      </w:r>
      <w:r w:rsidR="00C07DD8">
        <w:t>IAB</w:t>
      </w:r>
      <w:r w:rsidR="004D4DAC">
        <w:t xml:space="preserve"> Member </w:t>
      </w:r>
      <w:r w:rsidRPr="003F30FC">
        <w:rPr>
          <w:szCs w:val="20"/>
        </w:rPr>
        <w:t>wish</w:t>
      </w:r>
      <w:r w:rsidR="00FE4225" w:rsidRPr="003F30FC">
        <w:rPr>
          <w:szCs w:val="20"/>
        </w:rPr>
        <w:t>es</w:t>
      </w:r>
      <w:r w:rsidRPr="003F30FC">
        <w:rPr>
          <w:szCs w:val="20"/>
        </w:rPr>
        <w:t xml:space="preserve"> to share confidential information</w:t>
      </w:r>
      <w:r w:rsidR="00975663" w:rsidRPr="00360D56">
        <w:rPr>
          <w:szCs w:val="20"/>
        </w:rPr>
        <w:t>,</w:t>
      </w:r>
      <w:r w:rsidRPr="00360D56">
        <w:rPr>
          <w:szCs w:val="20"/>
        </w:rPr>
        <w:t xml:space="preserve"> then a separate 2-way</w:t>
      </w:r>
      <w:r w:rsidR="00A818D4" w:rsidRPr="00360D56">
        <w:rPr>
          <w:szCs w:val="20"/>
        </w:rPr>
        <w:t xml:space="preserve"> or multi-party</w:t>
      </w:r>
      <w:r w:rsidRPr="00360D56">
        <w:rPr>
          <w:szCs w:val="20"/>
        </w:rPr>
        <w:t xml:space="preserve"> </w:t>
      </w:r>
      <w:r w:rsidR="00A818D4" w:rsidRPr="00360D56">
        <w:rPr>
          <w:szCs w:val="20"/>
        </w:rPr>
        <w:t xml:space="preserve">non-disclosure agreement </w:t>
      </w:r>
      <w:r w:rsidRPr="00360D56">
        <w:rPr>
          <w:szCs w:val="20"/>
        </w:rPr>
        <w:t>should be executed</w:t>
      </w:r>
      <w:r w:rsidR="00C23CDA" w:rsidRPr="00360D56">
        <w:rPr>
          <w:szCs w:val="20"/>
        </w:rPr>
        <w:t xml:space="preserve"> by authorized representatives of all involved Parties</w:t>
      </w:r>
      <w:r w:rsidRPr="00360D56">
        <w:rPr>
          <w:szCs w:val="20"/>
        </w:rPr>
        <w:t>.</w:t>
      </w:r>
    </w:p>
    <w:p w14:paraId="6BB2780F" w14:textId="77777777" w:rsidR="00C91603" w:rsidRPr="003F30FC" w:rsidRDefault="00C91603" w:rsidP="00CA3D49">
      <w:pPr>
        <w:spacing w:after="0" w:line="260" w:lineRule="atLeast"/>
        <w:ind w:left="720"/>
        <w:rPr>
          <w:szCs w:val="20"/>
        </w:rPr>
      </w:pPr>
    </w:p>
    <w:p w14:paraId="28BF1A59" w14:textId="576AD72F" w:rsidR="000A00CC" w:rsidRPr="00CA3D49" w:rsidRDefault="00C91603" w:rsidP="000A00CC">
      <w:pPr>
        <w:pStyle w:val="ListParagraph"/>
        <w:numPr>
          <w:ilvl w:val="0"/>
          <w:numId w:val="21"/>
        </w:numPr>
        <w:spacing w:line="260" w:lineRule="atLeast"/>
        <w:rPr>
          <w:rFonts w:ascii="Arial" w:hAnsi="Arial" w:cs="Arial"/>
          <w:sz w:val="20"/>
          <w:szCs w:val="20"/>
        </w:rPr>
      </w:pPr>
      <w:r w:rsidRPr="00CA3D49">
        <w:rPr>
          <w:rFonts w:ascii="Arial" w:hAnsi="Arial" w:cs="Arial"/>
          <w:sz w:val="20"/>
          <w:szCs w:val="20"/>
          <w:u w:val="single"/>
        </w:rPr>
        <w:t>Information defined herein as Confidential Information shall not be disseminated to any Association Member’s general membership.</w:t>
      </w:r>
      <w:r w:rsidRPr="00CA3D49">
        <w:rPr>
          <w:rFonts w:ascii="Arial" w:hAnsi="Arial" w:cs="Arial"/>
          <w:sz w:val="20"/>
          <w:szCs w:val="20"/>
        </w:rPr>
        <w:t xml:space="preserve">  For the purposes herein, the general membership of an Association Member is equivalent to the general public.  Any member of an Association Member that is not a direct </w:t>
      </w:r>
      <w:r w:rsidR="000A00CC" w:rsidRPr="000A00CC">
        <w:rPr>
          <w:rFonts w:ascii="Arial" w:hAnsi="Arial" w:cs="Arial"/>
          <w:sz w:val="20"/>
          <w:szCs w:val="20"/>
        </w:rPr>
        <w:t>IAB</w:t>
      </w:r>
      <w:r w:rsidRPr="00CA3D49">
        <w:rPr>
          <w:rFonts w:ascii="Arial" w:hAnsi="Arial" w:cs="Arial"/>
          <w:sz w:val="20"/>
          <w:szCs w:val="20"/>
        </w:rPr>
        <w:t xml:space="preserve"> Member of the Center may secure Confidential Information of the Center by separate non-disclosure-agreement with the respective Academic Institution(s). </w:t>
      </w:r>
      <w:r w:rsidR="00EB1C91">
        <w:rPr>
          <w:rFonts w:ascii="Arial" w:hAnsi="Arial" w:cs="Arial"/>
          <w:sz w:val="20"/>
          <w:szCs w:val="20"/>
        </w:rPr>
        <w:t>Access is limited to only one Center project.</w:t>
      </w:r>
    </w:p>
    <w:p w14:paraId="358ACBF4" w14:textId="77777777" w:rsidR="000A00CC" w:rsidRPr="00CA3D49" w:rsidRDefault="000A00CC" w:rsidP="00CA3D49">
      <w:pPr>
        <w:pStyle w:val="ListParagraph"/>
        <w:spacing w:line="260" w:lineRule="atLeast"/>
        <w:rPr>
          <w:rFonts w:ascii="Arial" w:hAnsi="Arial" w:cs="Arial"/>
          <w:sz w:val="20"/>
          <w:szCs w:val="20"/>
        </w:rPr>
      </w:pPr>
    </w:p>
    <w:p w14:paraId="037E5BDB" w14:textId="77777777" w:rsidR="00C91603" w:rsidRPr="003F30FC" w:rsidRDefault="00C91603" w:rsidP="00CA3D49">
      <w:pPr>
        <w:spacing w:after="0" w:line="260" w:lineRule="atLeast"/>
        <w:ind w:left="720"/>
        <w:rPr>
          <w:szCs w:val="20"/>
        </w:rPr>
      </w:pPr>
    </w:p>
    <w:p w14:paraId="39626F85" w14:textId="77777777" w:rsidR="00A02781" w:rsidRDefault="00A02781" w:rsidP="00A02781">
      <w:pPr>
        <w:rPr>
          <w:rFonts w:eastAsia="Times New Roman"/>
          <w:bCs/>
          <w:szCs w:val="20"/>
        </w:rPr>
      </w:pPr>
      <w:r>
        <w:rPr>
          <w:b/>
          <w:sz w:val="22"/>
        </w:rPr>
        <w:t>Article 13</w:t>
      </w:r>
      <w:r w:rsidRPr="000841D0">
        <w:rPr>
          <w:b/>
          <w:sz w:val="22"/>
        </w:rPr>
        <w:t>:</w:t>
      </w:r>
      <w:r w:rsidRPr="000841D0">
        <w:rPr>
          <w:b/>
          <w:sz w:val="22"/>
        </w:rPr>
        <w:tab/>
      </w:r>
      <w:r>
        <w:rPr>
          <w:b/>
          <w:sz w:val="22"/>
        </w:rPr>
        <w:t>Publication Review Period</w:t>
      </w:r>
    </w:p>
    <w:p w14:paraId="105D2520" w14:textId="634854FD" w:rsidR="00A02781" w:rsidRDefault="00A02781" w:rsidP="00A02781">
      <w:pPr>
        <w:numPr>
          <w:ilvl w:val="0"/>
          <w:numId w:val="26"/>
        </w:numPr>
      </w:pPr>
      <w:r>
        <w:t>With reference to Article E in the CADMIM I/UCRC Membership Agreement for Industrial</w:t>
      </w:r>
      <w:r w:rsidR="00164569">
        <w:t xml:space="preserve">/Association </w:t>
      </w:r>
      <w:r w:rsidR="005B5B05">
        <w:t>Members</w:t>
      </w:r>
      <w:r w:rsidR="00C23CDA">
        <w:t xml:space="preserve"> (which pertains to publishing in scientific and engineering journals)</w:t>
      </w:r>
      <w:r>
        <w:t xml:space="preserve">, the </w:t>
      </w:r>
      <w:r w:rsidR="001F0296">
        <w:t>IAB</w:t>
      </w:r>
      <w:r>
        <w:t xml:space="preserve"> approved the following modification in May 2015:  </w:t>
      </w:r>
      <w:r w:rsidR="00C23CDA">
        <w:t xml:space="preserve">The IAB will </w:t>
      </w:r>
      <w:r>
        <w:t xml:space="preserve">review </w:t>
      </w:r>
      <w:r>
        <w:lastRenderedPageBreak/>
        <w:t xml:space="preserve">manuscripts in parallel with the submission process </w:t>
      </w:r>
      <w:r w:rsidR="00C23CDA">
        <w:t xml:space="preserve">of the conference or journal </w:t>
      </w:r>
      <w:r>
        <w:t>for CADMIM-funded conference and journal publications.</w:t>
      </w:r>
    </w:p>
    <w:p w14:paraId="6065EE00" w14:textId="77777777" w:rsidR="00A02781" w:rsidRPr="0023735D" w:rsidRDefault="00A02781" w:rsidP="00A02781">
      <w:pPr>
        <w:numPr>
          <w:ilvl w:val="1"/>
          <w:numId w:val="26"/>
        </w:numPr>
      </w:pPr>
      <w:r w:rsidRPr="00961AF2">
        <w:rPr>
          <w:u w:val="single"/>
        </w:rPr>
        <w:t>Conference papers</w:t>
      </w:r>
      <w:r>
        <w:t xml:space="preserve">: </w:t>
      </w:r>
      <w:r w:rsidRPr="0023735D">
        <w:t>IAB will be given copies of abstract and full pape</w:t>
      </w:r>
      <w:r>
        <w:t xml:space="preserve">r once submitted. Review period of thirty (30) days </w:t>
      </w:r>
      <w:r w:rsidRPr="0023735D">
        <w:t>officially begins when</w:t>
      </w:r>
      <w:r>
        <w:t xml:space="preserve"> the full paper is distributed (n</w:t>
      </w:r>
      <w:r w:rsidRPr="0023735D">
        <w:t>ormally 2 – 3 months lead time</w:t>
      </w:r>
      <w:r>
        <w:t xml:space="preserve"> prior to publication)</w:t>
      </w:r>
      <w:r w:rsidRPr="0023735D">
        <w:t>.</w:t>
      </w:r>
      <w:r>
        <w:t xml:space="preserve"> </w:t>
      </w:r>
    </w:p>
    <w:p w14:paraId="41686ABD" w14:textId="77777777" w:rsidR="00A02781" w:rsidRDefault="00A02781" w:rsidP="00A02781">
      <w:pPr>
        <w:numPr>
          <w:ilvl w:val="1"/>
          <w:numId w:val="26"/>
        </w:numPr>
      </w:pPr>
      <w:r w:rsidRPr="00961AF2">
        <w:rPr>
          <w:u w:val="single"/>
        </w:rPr>
        <w:t>Journal papers</w:t>
      </w:r>
      <w:r>
        <w:t xml:space="preserve">: </w:t>
      </w:r>
      <w:r w:rsidR="004B4E39">
        <w:t>IAB will be provided a copy</w:t>
      </w:r>
      <w:r w:rsidRPr="0023735D">
        <w:t xml:space="preserve"> wh</w:t>
      </w:r>
      <w:r>
        <w:t>en the manuscript is submitted to the journal (n</w:t>
      </w:r>
      <w:r w:rsidRPr="0023735D">
        <w:t>ormally 3 – 6 months lead time</w:t>
      </w:r>
      <w:r>
        <w:t xml:space="preserve"> prior to publication)</w:t>
      </w:r>
      <w:r w:rsidRPr="0023735D">
        <w:t>.</w:t>
      </w:r>
      <w:r w:rsidR="004B4E39">
        <w:t xml:space="preserve">  IAB will have thirty (30) days to review.</w:t>
      </w:r>
    </w:p>
    <w:p w14:paraId="5DD3AE59" w14:textId="4E141F4B" w:rsidR="00A02781" w:rsidRPr="00A8447D" w:rsidRDefault="00A02781" w:rsidP="004B4E39">
      <w:pPr>
        <w:numPr>
          <w:ilvl w:val="0"/>
          <w:numId w:val="26"/>
        </w:numPr>
      </w:pPr>
      <w:r>
        <w:t>During the review period all abstracts</w:t>
      </w:r>
      <w:r w:rsidR="00CC0085">
        <w:t xml:space="preserve"> and </w:t>
      </w:r>
      <w:r>
        <w:t>manuscripts must be treated as confidential information (not for disclosure or distribution to 3</w:t>
      </w:r>
      <w:r w:rsidRPr="00961AF2">
        <w:rPr>
          <w:vertAlign w:val="superscript"/>
        </w:rPr>
        <w:t>rd</w:t>
      </w:r>
      <w:r>
        <w:t xml:space="preserve"> parties). </w:t>
      </w:r>
      <w:r w:rsidR="00A22B03">
        <w:t xml:space="preserve">  For clarity, an Association Member’s own members and served parties are considered 3rd parties.</w:t>
      </w:r>
    </w:p>
    <w:p w14:paraId="1CD4766F" w14:textId="77777777" w:rsidR="00892655" w:rsidRDefault="00892655" w:rsidP="00892655">
      <w:pPr>
        <w:pStyle w:val="Heading1"/>
      </w:pPr>
      <w:r>
        <w:t xml:space="preserve">Article </w:t>
      </w:r>
      <w:r w:rsidR="00A02781">
        <w:t>14</w:t>
      </w:r>
      <w:r>
        <w:t>:</w:t>
      </w:r>
      <w:r>
        <w:tab/>
      </w:r>
      <w:r w:rsidR="007E7686">
        <w:t>Intellectual Property</w:t>
      </w:r>
      <w:r>
        <w:t xml:space="preserve"> </w:t>
      </w:r>
    </w:p>
    <w:p w14:paraId="1DD03B98" w14:textId="5AE2B663" w:rsidR="00BD056E" w:rsidRDefault="00995D67" w:rsidP="00BD056E">
      <w:pPr>
        <w:numPr>
          <w:ilvl w:val="0"/>
          <w:numId w:val="19"/>
        </w:numPr>
      </w:pPr>
      <w:r>
        <w:t xml:space="preserve">The </w:t>
      </w:r>
      <w:r w:rsidR="00BD4764">
        <w:t xml:space="preserve">CADMIM I/UCRC Membership Agreement for </w:t>
      </w:r>
      <w:r w:rsidR="00B759EE">
        <w:t>Industria</w:t>
      </w:r>
      <w:r w:rsidR="00937A9B">
        <w:t>l</w:t>
      </w:r>
      <w:r w:rsidR="00B759EE">
        <w:t xml:space="preserve"> </w:t>
      </w:r>
      <w:r w:rsidR="005B5B05">
        <w:t>Member</w:t>
      </w:r>
      <w:r w:rsidR="00A22B03">
        <w:t xml:space="preserve">s </w:t>
      </w:r>
      <w:r w:rsidR="00617BA8">
        <w:t xml:space="preserve">contains </w:t>
      </w:r>
      <w:r>
        <w:t>specific provisions on patent ownership, licenses, and royalty distribution by university research sites. Further clarifications on the terms are included below:</w:t>
      </w:r>
    </w:p>
    <w:p w14:paraId="588B03B2" w14:textId="6ECF911F" w:rsidR="00C36B24" w:rsidRDefault="00840301" w:rsidP="00A10A6B">
      <w:pPr>
        <w:numPr>
          <w:ilvl w:val="1"/>
          <w:numId w:val="19"/>
        </w:numPr>
        <w:rPr>
          <w:szCs w:val="20"/>
        </w:rPr>
      </w:pPr>
      <w:r>
        <w:t xml:space="preserve">The Academic </w:t>
      </w:r>
      <w:r w:rsidRPr="00B83F71">
        <w:rPr>
          <w:szCs w:val="20"/>
        </w:rPr>
        <w:t xml:space="preserve">Members shall ensure that </w:t>
      </w:r>
      <w:r>
        <w:rPr>
          <w:szCs w:val="20"/>
        </w:rPr>
        <w:t>they are</w:t>
      </w:r>
      <w:r w:rsidRPr="00B83F71">
        <w:rPr>
          <w:szCs w:val="20"/>
        </w:rPr>
        <w:t xml:space="preserve"> notified immediately by </w:t>
      </w:r>
      <w:r>
        <w:rPr>
          <w:szCs w:val="20"/>
        </w:rPr>
        <w:t>their</w:t>
      </w:r>
      <w:r w:rsidRPr="00B83F71">
        <w:rPr>
          <w:szCs w:val="20"/>
        </w:rPr>
        <w:t xml:space="preserve"> employees and sub-contractors of any and all results which might be considered an invention. The Academic Members shall subsequently </w:t>
      </w:r>
      <w:r w:rsidR="00E54245">
        <w:rPr>
          <w:szCs w:val="20"/>
        </w:rPr>
        <w:t>disclose</w:t>
      </w:r>
      <w:r w:rsidR="00E54245" w:rsidRPr="00B83F71">
        <w:rPr>
          <w:szCs w:val="20"/>
        </w:rPr>
        <w:t xml:space="preserve"> </w:t>
      </w:r>
      <w:r w:rsidRPr="00B83F71">
        <w:rPr>
          <w:szCs w:val="20"/>
        </w:rPr>
        <w:t>such inventions immediately to the</w:t>
      </w:r>
      <w:r w:rsidR="004577AD">
        <w:rPr>
          <w:szCs w:val="20"/>
        </w:rPr>
        <w:t xml:space="preserve"> </w:t>
      </w:r>
      <w:r w:rsidR="00C07DD8">
        <w:rPr>
          <w:szCs w:val="20"/>
        </w:rPr>
        <w:t>IAB</w:t>
      </w:r>
      <w:r w:rsidR="00C07DD8" w:rsidRPr="00B83F71">
        <w:rPr>
          <w:szCs w:val="20"/>
        </w:rPr>
        <w:t xml:space="preserve"> </w:t>
      </w:r>
      <w:r w:rsidRPr="00B83F71">
        <w:rPr>
          <w:szCs w:val="20"/>
        </w:rPr>
        <w:t>Members</w:t>
      </w:r>
      <w:r w:rsidR="00EE2E25">
        <w:rPr>
          <w:szCs w:val="20"/>
        </w:rPr>
        <w:t xml:space="preserve">. These disclosures may be in the form of a university invention disclosure or provisional patent application. Both of these </w:t>
      </w:r>
      <w:r w:rsidR="00EE2E25">
        <w:t>must be treated as confidential info</w:t>
      </w:r>
      <w:r w:rsidR="00EE2E25" w:rsidRPr="008E3D79">
        <w:t xml:space="preserve">rmation </w:t>
      </w:r>
      <w:r w:rsidR="00281937" w:rsidRPr="008E3D79">
        <w:t>per Article 12</w:t>
      </w:r>
      <w:r w:rsidRPr="008E3D79">
        <w:rPr>
          <w:szCs w:val="20"/>
        </w:rPr>
        <w:t xml:space="preserve">. </w:t>
      </w:r>
    </w:p>
    <w:p w14:paraId="68199675" w14:textId="6347BA0F" w:rsidR="00C36B24" w:rsidRDefault="00840301" w:rsidP="00A10A6B">
      <w:pPr>
        <w:ind w:left="1440"/>
        <w:rPr>
          <w:szCs w:val="20"/>
        </w:rPr>
      </w:pPr>
      <w:r w:rsidRPr="008E3D79">
        <w:rPr>
          <w:szCs w:val="20"/>
        </w:rPr>
        <w:t>After rece</w:t>
      </w:r>
      <w:r w:rsidRPr="00B83F71">
        <w:rPr>
          <w:szCs w:val="20"/>
        </w:rPr>
        <w:t xml:space="preserve">ipt of such report, </w:t>
      </w:r>
      <w:r w:rsidR="00C07DD8">
        <w:rPr>
          <w:szCs w:val="20"/>
        </w:rPr>
        <w:t>both</w:t>
      </w:r>
      <w:r w:rsidR="000A00CC">
        <w:rPr>
          <w:szCs w:val="20"/>
        </w:rPr>
        <w:t xml:space="preserve"> </w:t>
      </w:r>
      <w:r w:rsidR="00FF5835">
        <w:rPr>
          <w:szCs w:val="20"/>
        </w:rPr>
        <w:t>(i) cash-paying Industrial Members</w:t>
      </w:r>
      <w:r w:rsidR="004D4DAC">
        <w:rPr>
          <w:szCs w:val="20"/>
        </w:rPr>
        <w:t xml:space="preserve">, </w:t>
      </w:r>
      <w:r w:rsidR="00C07DD8">
        <w:rPr>
          <w:szCs w:val="20"/>
        </w:rPr>
        <w:t>and</w:t>
      </w:r>
      <w:r w:rsidR="000A00CC">
        <w:rPr>
          <w:szCs w:val="20"/>
        </w:rPr>
        <w:t xml:space="preserve"> </w:t>
      </w:r>
      <w:r w:rsidR="00FF5835">
        <w:rPr>
          <w:szCs w:val="20"/>
        </w:rPr>
        <w:t xml:space="preserve">(ii) in-kind Industrial members who have contributed to the </w:t>
      </w:r>
      <w:r w:rsidR="001C7824">
        <w:rPr>
          <w:szCs w:val="20"/>
        </w:rPr>
        <w:t xml:space="preserve">specific </w:t>
      </w:r>
      <w:r w:rsidR="00FF5835">
        <w:rPr>
          <w:szCs w:val="20"/>
        </w:rPr>
        <w:t xml:space="preserve">project that was the source of the invention, will have </w:t>
      </w:r>
      <w:r w:rsidR="00262742">
        <w:rPr>
          <w:szCs w:val="20"/>
        </w:rPr>
        <w:t xml:space="preserve">60 calendar days </w:t>
      </w:r>
      <w:r w:rsidR="00FF5835">
        <w:rPr>
          <w:szCs w:val="20"/>
        </w:rPr>
        <w:t>to</w:t>
      </w:r>
      <w:r w:rsidRPr="000031A5">
        <w:rPr>
          <w:szCs w:val="20"/>
        </w:rPr>
        <w:t xml:space="preserve"> inform the respective Academic Member(s) if it wishes to acquire a </w:t>
      </w:r>
      <w:r w:rsidR="00BD4764" w:rsidRPr="000031A5">
        <w:rPr>
          <w:szCs w:val="20"/>
        </w:rPr>
        <w:t>n</w:t>
      </w:r>
      <w:r w:rsidR="00BD4764" w:rsidRPr="000031A5">
        <w:rPr>
          <w:rFonts w:eastAsia="Times New Roman"/>
          <w:color w:val="000000"/>
          <w:szCs w:val="20"/>
        </w:rPr>
        <w:t>onexclusive royalty-free license</w:t>
      </w:r>
      <w:r w:rsidR="006D5A08">
        <w:rPr>
          <w:rFonts w:eastAsia="Times New Roman"/>
          <w:color w:val="000000"/>
          <w:szCs w:val="20"/>
        </w:rPr>
        <w:t xml:space="preserve"> (for research use and/or commercial purposes)</w:t>
      </w:r>
      <w:r w:rsidR="00BD4764" w:rsidRPr="000031A5">
        <w:rPr>
          <w:szCs w:val="20"/>
        </w:rPr>
        <w:t xml:space="preserve">, </w:t>
      </w:r>
      <w:r w:rsidRPr="000031A5">
        <w:rPr>
          <w:szCs w:val="20"/>
        </w:rPr>
        <w:t>and if so, for which countries.</w:t>
      </w:r>
      <w:r w:rsidR="00BD4764" w:rsidRPr="000031A5">
        <w:rPr>
          <w:szCs w:val="20"/>
        </w:rPr>
        <w:t xml:space="preserve"> </w:t>
      </w:r>
    </w:p>
    <w:p w14:paraId="38ADFBB1" w14:textId="4827581E" w:rsidR="00840301" w:rsidRPr="001C7824" w:rsidRDefault="00D10776" w:rsidP="00995D67">
      <w:pPr>
        <w:numPr>
          <w:ilvl w:val="1"/>
          <w:numId w:val="19"/>
        </w:numPr>
        <w:rPr>
          <w:szCs w:val="20"/>
        </w:rPr>
      </w:pPr>
      <w:r>
        <w:rPr>
          <w:rFonts w:eastAsia="Times New Roman"/>
          <w:color w:val="000000"/>
          <w:szCs w:val="20"/>
        </w:rPr>
        <w:t>During the 60-day evaluation period, i</w:t>
      </w:r>
      <w:r w:rsidR="00BD4764" w:rsidRPr="000031A5">
        <w:rPr>
          <w:rFonts w:eastAsia="Times New Roman"/>
          <w:color w:val="000000"/>
          <w:szCs w:val="20"/>
        </w:rPr>
        <w:t>f only one</w:t>
      </w:r>
      <w:r w:rsidR="004577AD">
        <w:rPr>
          <w:rFonts w:eastAsia="Times New Roman"/>
          <w:color w:val="000000"/>
          <w:szCs w:val="20"/>
        </w:rPr>
        <w:t xml:space="preserve"> </w:t>
      </w:r>
      <w:r w:rsidR="00BD4764">
        <w:rPr>
          <w:rFonts w:eastAsia="Times New Roman"/>
          <w:color w:val="000000"/>
          <w:szCs w:val="20"/>
        </w:rPr>
        <w:t>Industrial Member</w:t>
      </w:r>
      <w:r w:rsidR="00BD4764" w:rsidRPr="000031A5">
        <w:rPr>
          <w:rFonts w:eastAsia="Times New Roman"/>
          <w:color w:val="000000"/>
          <w:szCs w:val="20"/>
        </w:rPr>
        <w:t xml:space="preserve"> seeks a license, that </w:t>
      </w:r>
      <w:r w:rsidR="00C07DD8">
        <w:rPr>
          <w:rFonts w:eastAsia="Times New Roman"/>
          <w:color w:val="000000"/>
          <w:szCs w:val="20"/>
        </w:rPr>
        <w:t xml:space="preserve">Industrial </w:t>
      </w:r>
      <w:r w:rsidR="00BD4764">
        <w:rPr>
          <w:rFonts w:eastAsia="Times New Roman"/>
          <w:color w:val="000000"/>
          <w:szCs w:val="20"/>
        </w:rPr>
        <w:t>Member</w:t>
      </w:r>
      <w:r w:rsidR="00BD4764" w:rsidRPr="000031A5">
        <w:rPr>
          <w:rFonts w:eastAsia="Times New Roman"/>
          <w:color w:val="000000"/>
          <w:szCs w:val="20"/>
        </w:rPr>
        <w:t xml:space="preserve"> may obtain a fee-bearing license that is exclusive</w:t>
      </w:r>
      <w:r w:rsidR="00891B91">
        <w:rPr>
          <w:rFonts w:eastAsia="Times New Roman"/>
          <w:color w:val="000000"/>
          <w:szCs w:val="20"/>
        </w:rPr>
        <w:t xml:space="preserve">, in accordance with the </w:t>
      </w:r>
      <w:r w:rsidR="00891B91">
        <w:t xml:space="preserve">CADMIM I/UCRC Membership Agreement for </w:t>
      </w:r>
      <w:r w:rsidR="00B759EE">
        <w:t xml:space="preserve">Industrial </w:t>
      </w:r>
      <w:r w:rsidR="005B5B05">
        <w:t>Member</w:t>
      </w:r>
      <w:r w:rsidR="00A22B03">
        <w:t>s</w:t>
      </w:r>
      <w:r w:rsidR="00891B91">
        <w:t>, Clause H.</w:t>
      </w:r>
      <w:r w:rsidR="00914AE7">
        <w:t xml:space="preserve"> If more than one Industrial Member is interested in an exclusive license in a defined field, and the defined fields do not overlap (e.g. one member wants an exclusive license in the biomedical field, one in agricultural field and one in the defense applications </w:t>
      </w:r>
      <w:r w:rsidR="00A42EF8">
        <w:t>f</w:t>
      </w:r>
      <w:r w:rsidR="00914AE7">
        <w:t>ield)</w:t>
      </w:r>
      <w:r w:rsidR="00E54245">
        <w:t xml:space="preserve"> and no </w:t>
      </w:r>
      <w:r w:rsidR="00A11782">
        <w:t xml:space="preserve">Industrial </w:t>
      </w:r>
      <w:r w:rsidR="00E54245">
        <w:t>Member wants</w:t>
      </w:r>
      <w:r w:rsidR="00914AE7">
        <w:t xml:space="preserve"> a non-exclusive license in such field, then the </w:t>
      </w:r>
      <w:r w:rsidR="00A11782">
        <w:t xml:space="preserve">Industrial </w:t>
      </w:r>
      <w:r w:rsidR="00914AE7">
        <w:t xml:space="preserve">Members may each negotiate a fee bearing exclusive license in the desired field.  </w:t>
      </w:r>
    </w:p>
    <w:p w14:paraId="059D9271" w14:textId="4DBF3535" w:rsidR="001C7824" w:rsidRPr="000031A5" w:rsidRDefault="001C7824" w:rsidP="00995D67">
      <w:pPr>
        <w:numPr>
          <w:ilvl w:val="1"/>
          <w:numId w:val="19"/>
        </w:numPr>
        <w:rPr>
          <w:szCs w:val="20"/>
        </w:rPr>
      </w:pPr>
      <w:r w:rsidRPr="00244F65">
        <w:rPr>
          <w:bCs/>
          <w:iCs/>
          <w:szCs w:val="20"/>
        </w:rPr>
        <w:t xml:space="preserve">If </w:t>
      </w:r>
      <w:r w:rsidRPr="00C36B24">
        <w:rPr>
          <w:bCs/>
          <w:iCs/>
          <w:szCs w:val="20"/>
        </w:rPr>
        <w:t xml:space="preserve">an </w:t>
      </w:r>
      <w:r w:rsidRPr="00244F65">
        <w:rPr>
          <w:bCs/>
          <w:iCs/>
          <w:szCs w:val="20"/>
        </w:rPr>
        <w:t>in-kind member</w:t>
      </w:r>
      <w:r w:rsidR="00FB5BE1">
        <w:rPr>
          <w:bCs/>
          <w:iCs/>
          <w:szCs w:val="20"/>
        </w:rPr>
        <w:t xml:space="preserve"> </w:t>
      </w:r>
      <w:r w:rsidRPr="00244F65">
        <w:rPr>
          <w:bCs/>
          <w:iCs/>
          <w:szCs w:val="20"/>
        </w:rPr>
        <w:t xml:space="preserve">did </w:t>
      </w:r>
      <w:r w:rsidRPr="00244F65">
        <w:rPr>
          <w:bCs/>
          <w:iCs/>
          <w:szCs w:val="20"/>
          <w:u w:val="single"/>
        </w:rPr>
        <w:t>not</w:t>
      </w:r>
      <w:r w:rsidRPr="00244F65">
        <w:rPr>
          <w:bCs/>
          <w:iCs/>
          <w:szCs w:val="20"/>
        </w:rPr>
        <w:t xml:space="preserve"> contribute to the project that generated the invention,</w:t>
      </w:r>
      <w:r w:rsidRPr="00C36B24">
        <w:rPr>
          <w:b/>
          <w:bCs/>
          <w:i/>
          <w:iCs/>
          <w:szCs w:val="20"/>
        </w:rPr>
        <w:t xml:space="preserve"> </w:t>
      </w:r>
      <w:r w:rsidRPr="00C36B24">
        <w:rPr>
          <w:szCs w:val="20"/>
        </w:rPr>
        <w:t xml:space="preserve">then </w:t>
      </w:r>
      <w:r w:rsidR="005039B6">
        <w:rPr>
          <w:szCs w:val="20"/>
        </w:rPr>
        <w:t>such</w:t>
      </w:r>
      <w:r w:rsidR="00FB5BE1">
        <w:rPr>
          <w:szCs w:val="20"/>
        </w:rPr>
        <w:t xml:space="preserve"> </w:t>
      </w:r>
      <w:r>
        <w:rPr>
          <w:szCs w:val="20"/>
        </w:rPr>
        <w:t>member</w:t>
      </w:r>
      <w:r w:rsidRPr="00C36B24">
        <w:rPr>
          <w:szCs w:val="20"/>
        </w:rPr>
        <w:t xml:space="preserve"> can negotiate a license </w:t>
      </w:r>
      <w:r w:rsidRPr="00C36B24">
        <w:rPr>
          <w:szCs w:val="20"/>
          <w:u w:val="single"/>
        </w:rPr>
        <w:t>after</w:t>
      </w:r>
      <w:r w:rsidRPr="00C36B24">
        <w:rPr>
          <w:szCs w:val="20"/>
        </w:rPr>
        <w:t xml:space="preserve"> the 60-day evaluation has ended.</w:t>
      </w:r>
      <w:r w:rsidR="00A11782">
        <w:rPr>
          <w:szCs w:val="20"/>
        </w:rPr>
        <w:t xml:space="preserve"> </w:t>
      </w:r>
      <w:r w:rsidR="00937A9B">
        <w:rPr>
          <w:szCs w:val="20"/>
        </w:rPr>
        <w:t xml:space="preserve">The individual members of an </w:t>
      </w:r>
      <w:r w:rsidR="00A22B03">
        <w:rPr>
          <w:szCs w:val="20"/>
        </w:rPr>
        <w:t xml:space="preserve">Association Member may seek licensing rights following the conclusion of the 60-day evaluation period as well. </w:t>
      </w:r>
    </w:p>
    <w:p w14:paraId="0907A410" w14:textId="72FD161B" w:rsidR="00995D67" w:rsidRPr="00995D67" w:rsidRDefault="00995D67" w:rsidP="00995D67">
      <w:pPr>
        <w:numPr>
          <w:ilvl w:val="1"/>
          <w:numId w:val="19"/>
        </w:numPr>
      </w:pPr>
      <w:r>
        <w:rPr>
          <w:szCs w:val="20"/>
        </w:rPr>
        <w:lastRenderedPageBreak/>
        <w:t>P</w:t>
      </w:r>
      <w:r w:rsidRPr="002E1A04">
        <w:rPr>
          <w:szCs w:val="20"/>
        </w:rPr>
        <w:t xml:space="preserve">atent application and maintenance fees: </w:t>
      </w:r>
      <w:r w:rsidR="002E1A04" w:rsidRPr="002E1A04">
        <w:rPr>
          <w:szCs w:val="20"/>
        </w:rPr>
        <w:t>Und</w:t>
      </w:r>
      <w:r w:rsidR="002E1A04" w:rsidRPr="00E77F65">
        <w:rPr>
          <w:szCs w:val="20"/>
        </w:rPr>
        <w:t>er a license (non-exclusive or exclusive), the Industrial Member will pay for all patent costs. These costs are all USPTO fees (filing, issuance, maintenance fees, etc.) and all patent attorney costs associated with the prosecution (application preparation, office action responses, etc.).</w:t>
      </w:r>
      <w:r w:rsidR="002E1A04">
        <w:rPr>
          <w:szCs w:val="20"/>
        </w:rPr>
        <w:t xml:space="preserve"> </w:t>
      </w:r>
      <w:r w:rsidRPr="00E77F65">
        <w:rPr>
          <w:szCs w:val="20"/>
        </w:rPr>
        <w:t>The p</w:t>
      </w:r>
      <w:r w:rsidRPr="00995D67">
        <w:rPr>
          <w:szCs w:val="20"/>
        </w:rPr>
        <w:t xml:space="preserve">atent costs </w:t>
      </w:r>
      <w:r>
        <w:rPr>
          <w:szCs w:val="20"/>
        </w:rPr>
        <w:t>will be</w:t>
      </w:r>
      <w:r w:rsidRPr="00995D67">
        <w:rPr>
          <w:szCs w:val="20"/>
        </w:rPr>
        <w:t xml:space="preserve"> split between non-exclusive licensees </w:t>
      </w:r>
      <w:r w:rsidR="00173F30">
        <w:rPr>
          <w:szCs w:val="20"/>
        </w:rPr>
        <w:t>(</w:t>
      </w:r>
      <w:r w:rsidRPr="00995D67">
        <w:rPr>
          <w:szCs w:val="20"/>
        </w:rPr>
        <w:t>i.e.</w:t>
      </w:r>
      <w:r w:rsidR="00173F30">
        <w:rPr>
          <w:szCs w:val="20"/>
        </w:rPr>
        <w:t>,</w:t>
      </w:r>
      <w:r w:rsidRPr="00995D67">
        <w:rPr>
          <w:szCs w:val="20"/>
        </w:rPr>
        <w:t xml:space="preserve"> if there are </w:t>
      </w:r>
      <w:r w:rsidR="00173F30">
        <w:rPr>
          <w:szCs w:val="20"/>
        </w:rPr>
        <w:t>two licensees</w:t>
      </w:r>
      <w:r w:rsidRPr="00995D67">
        <w:rPr>
          <w:szCs w:val="20"/>
        </w:rPr>
        <w:t>, then they each pay 50%</w:t>
      </w:r>
      <w:r w:rsidR="00173F30">
        <w:rPr>
          <w:szCs w:val="20"/>
        </w:rPr>
        <w:t>; i</w:t>
      </w:r>
      <w:r w:rsidRPr="00995D67">
        <w:rPr>
          <w:szCs w:val="20"/>
        </w:rPr>
        <w:t xml:space="preserve">f there are </w:t>
      </w:r>
      <w:r w:rsidR="00173F30">
        <w:rPr>
          <w:szCs w:val="20"/>
        </w:rPr>
        <w:t>three</w:t>
      </w:r>
      <w:r w:rsidRPr="00995D67">
        <w:rPr>
          <w:szCs w:val="20"/>
        </w:rPr>
        <w:t>, they each pay 33.3%</w:t>
      </w:r>
      <w:r w:rsidR="00173F30">
        <w:rPr>
          <w:szCs w:val="20"/>
        </w:rPr>
        <w:t>)</w:t>
      </w:r>
      <w:r w:rsidRPr="00995D67">
        <w:rPr>
          <w:szCs w:val="20"/>
        </w:rPr>
        <w:t xml:space="preserve">. Also, under a royalty free license, the licensee would not pay </w:t>
      </w:r>
      <w:r w:rsidRPr="00995D67">
        <w:rPr>
          <w:szCs w:val="20"/>
          <w:u w:val="single"/>
        </w:rPr>
        <w:t>license</w:t>
      </w:r>
      <w:r w:rsidRPr="00995D67">
        <w:rPr>
          <w:szCs w:val="20"/>
        </w:rPr>
        <w:t xml:space="preserve"> maintenance fees, but they would pay for </w:t>
      </w:r>
      <w:r w:rsidRPr="00995D67">
        <w:rPr>
          <w:szCs w:val="20"/>
          <w:u w:val="single"/>
        </w:rPr>
        <w:t>patent</w:t>
      </w:r>
      <w:r w:rsidRPr="00995D67">
        <w:rPr>
          <w:szCs w:val="20"/>
        </w:rPr>
        <w:t xml:space="preserve"> maintenance fees which are charged by the </w:t>
      </w:r>
      <w:r>
        <w:rPr>
          <w:szCs w:val="20"/>
        </w:rPr>
        <w:t>United States Patent and Trademark Office (</w:t>
      </w:r>
      <w:r w:rsidRPr="00995D67">
        <w:rPr>
          <w:szCs w:val="20"/>
        </w:rPr>
        <w:t>USPTO</w:t>
      </w:r>
      <w:r>
        <w:rPr>
          <w:szCs w:val="20"/>
        </w:rPr>
        <w:t>)</w:t>
      </w:r>
      <w:r w:rsidRPr="00995D67">
        <w:rPr>
          <w:szCs w:val="20"/>
        </w:rPr>
        <w:t>.</w:t>
      </w:r>
      <w:r w:rsidR="00DA372E">
        <w:rPr>
          <w:szCs w:val="20"/>
        </w:rPr>
        <w:t xml:space="preserve"> Patent applications in other countries and related costs will be divided in a similar fashion</w:t>
      </w:r>
      <w:r w:rsidR="00914AE7">
        <w:rPr>
          <w:szCs w:val="20"/>
        </w:rPr>
        <w:t xml:space="preserve">, i.e., each Industrial Member would pay a pro-rata share only of the patent applications in countries which it </w:t>
      </w:r>
      <w:r w:rsidR="000A17CC">
        <w:rPr>
          <w:szCs w:val="20"/>
        </w:rPr>
        <w:t>selects</w:t>
      </w:r>
      <w:r w:rsidR="00DA372E">
        <w:rPr>
          <w:szCs w:val="20"/>
        </w:rPr>
        <w:t>.</w:t>
      </w:r>
      <w:r w:rsidR="000A17CC">
        <w:rPr>
          <w:szCs w:val="20"/>
        </w:rPr>
        <w:t xml:space="preserve"> Future licensees of a particular patent will also pay a pro-rata share of all patent expenses in the countries they elect.</w:t>
      </w:r>
      <w:r w:rsidR="00E54245">
        <w:rPr>
          <w:szCs w:val="20"/>
        </w:rPr>
        <w:t xml:space="preserve"> For clarity, Academic Members will confer with Industrial Members who have acquired a license on where the Industrial Members wish patent applications to be filed, and will file such United States and foreign patents.</w:t>
      </w:r>
    </w:p>
    <w:p w14:paraId="052DB755" w14:textId="44F6BE7F" w:rsidR="00995D67" w:rsidRPr="00C36E50" w:rsidRDefault="00995D67" w:rsidP="00995D67">
      <w:pPr>
        <w:numPr>
          <w:ilvl w:val="1"/>
          <w:numId w:val="19"/>
        </w:numPr>
        <w:rPr>
          <w:color w:val="000000" w:themeColor="text1"/>
        </w:rPr>
      </w:pPr>
      <w:r w:rsidRPr="00C36E50">
        <w:rPr>
          <w:color w:val="000000" w:themeColor="text1"/>
          <w:szCs w:val="20"/>
        </w:rPr>
        <w:t xml:space="preserve">If </w:t>
      </w:r>
      <w:r w:rsidR="00E22300" w:rsidRPr="00C36E50">
        <w:rPr>
          <w:color w:val="000000" w:themeColor="text1"/>
          <w:szCs w:val="20"/>
        </w:rPr>
        <w:t xml:space="preserve">one or more </w:t>
      </w:r>
      <w:r w:rsidRPr="00C36E50">
        <w:rPr>
          <w:color w:val="000000" w:themeColor="text1"/>
          <w:szCs w:val="20"/>
        </w:rPr>
        <w:t>Industrial</w:t>
      </w:r>
      <w:r w:rsidR="00E22300" w:rsidRPr="00C36E50">
        <w:rPr>
          <w:color w:val="000000" w:themeColor="text1"/>
          <w:szCs w:val="20"/>
        </w:rPr>
        <w:t xml:space="preserve"> </w:t>
      </w:r>
      <w:r w:rsidR="00D10776" w:rsidRPr="00C36E50">
        <w:rPr>
          <w:color w:val="000000" w:themeColor="text1"/>
          <w:szCs w:val="20"/>
        </w:rPr>
        <w:t>M</w:t>
      </w:r>
      <w:r w:rsidRPr="00C36E50">
        <w:rPr>
          <w:color w:val="000000" w:themeColor="text1"/>
          <w:szCs w:val="20"/>
        </w:rPr>
        <w:t>ember</w:t>
      </w:r>
      <w:r w:rsidR="00E22300" w:rsidRPr="00C36E50">
        <w:rPr>
          <w:color w:val="000000" w:themeColor="text1"/>
          <w:szCs w:val="20"/>
        </w:rPr>
        <w:t>(s)</w:t>
      </w:r>
      <w:r w:rsidRPr="00C36E50">
        <w:rPr>
          <w:color w:val="000000" w:themeColor="text1"/>
          <w:szCs w:val="20"/>
        </w:rPr>
        <w:t xml:space="preserve"> desires a non-exclusive license, an exclusive license is no longer an option</w:t>
      </w:r>
      <w:r w:rsidR="000A17CC" w:rsidRPr="00C36E50">
        <w:rPr>
          <w:color w:val="000000" w:themeColor="text1"/>
          <w:szCs w:val="20"/>
        </w:rPr>
        <w:t>, unless the licenses are in non-overlapping fields</w:t>
      </w:r>
      <w:r w:rsidRPr="00C36E50">
        <w:rPr>
          <w:color w:val="000000" w:themeColor="text1"/>
          <w:szCs w:val="20"/>
        </w:rPr>
        <w:t>.</w:t>
      </w:r>
      <w:r w:rsidR="007E6BBC" w:rsidRPr="00C36E50">
        <w:rPr>
          <w:color w:val="000000" w:themeColor="text1"/>
          <w:szCs w:val="20"/>
        </w:rPr>
        <w:t xml:space="preserve"> </w:t>
      </w:r>
      <w:r w:rsidR="007E6BBC" w:rsidRPr="00C36E50">
        <w:rPr>
          <w:color w:val="000000" w:themeColor="text1"/>
        </w:rPr>
        <w:t xml:space="preserve">A co-exclusive may be available if all parties agree. </w:t>
      </w:r>
      <w:r w:rsidR="007E6BBC" w:rsidRPr="00C36E50">
        <w:rPr>
          <w:color w:val="000000" w:themeColor="text1"/>
          <w:szCs w:val="20"/>
        </w:rPr>
        <w:t xml:space="preserve"> </w:t>
      </w:r>
    </w:p>
    <w:p w14:paraId="45DEF03A" w14:textId="316C8CB2" w:rsidR="00CD1C30" w:rsidRPr="00C36E50" w:rsidRDefault="005A55BF" w:rsidP="00CD1C30">
      <w:pPr>
        <w:numPr>
          <w:ilvl w:val="1"/>
          <w:numId w:val="19"/>
        </w:numPr>
        <w:rPr>
          <w:color w:val="000000" w:themeColor="text1"/>
          <w:szCs w:val="20"/>
        </w:rPr>
      </w:pPr>
      <w:r w:rsidRPr="00C36E50">
        <w:rPr>
          <w:color w:val="000000" w:themeColor="text1"/>
          <w:szCs w:val="20"/>
        </w:rPr>
        <w:t>Industrial Member</w:t>
      </w:r>
      <w:r w:rsidR="00D10776" w:rsidRPr="00C36E50">
        <w:rPr>
          <w:color w:val="000000" w:themeColor="text1"/>
          <w:szCs w:val="20"/>
        </w:rPr>
        <w:t>s</w:t>
      </w:r>
      <w:r w:rsidRPr="00C36E50">
        <w:rPr>
          <w:color w:val="000000" w:themeColor="text1"/>
          <w:szCs w:val="20"/>
        </w:rPr>
        <w:t xml:space="preserve"> of CADMIM </w:t>
      </w:r>
      <w:r w:rsidR="00164870" w:rsidRPr="00C36E50">
        <w:rPr>
          <w:color w:val="000000" w:themeColor="text1"/>
          <w:szCs w:val="20"/>
        </w:rPr>
        <w:t>can only</w:t>
      </w:r>
      <w:r w:rsidRPr="00C36E50">
        <w:rPr>
          <w:color w:val="000000" w:themeColor="text1"/>
          <w:szCs w:val="20"/>
        </w:rPr>
        <w:t xml:space="preserve"> </w:t>
      </w:r>
      <w:r w:rsidR="00D10776" w:rsidRPr="00C36E50">
        <w:rPr>
          <w:color w:val="000000" w:themeColor="text1"/>
          <w:szCs w:val="20"/>
        </w:rPr>
        <w:t xml:space="preserve">participate in the 60-day exclusive IAB evaluation period </w:t>
      </w:r>
      <w:r w:rsidR="001C7824" w:rsidRPr="00C36E50">
        <w:rPr>
          <w:color w:val="000000" w:themeColor="text1"/>
          <w:szCs w:val="20"/>
        </w:rPr>
        <w:t>if the corresponding</w:t>
      </w:r>
      <w:r w:rsidR="0098597D" w:rsidRPr="00C36E50">
        <w:rPr>
          <w:color w:val="000000" w:themeColor="text1"/>
        </w:rPr>
        <w:t xml:space="preserve"> invention disclosure was filed at an Academic member’s institution</w:t>
      </w:r>
      <w:r w:rsidR="001C7824" w:rsidRPr="00C36E50">
        <w:rPr>
          <w:color w:val="000000" w:themeColor="text1"/>
        </w:rPr>
        <w:t xml:space="preserve"> during the </w:t>
      </w:r>
      <w:r w:rsidR="0098597D" w:rsidRPr="00C36E50">
        <w:rPr>
          <w:color w:val="000000" w:themeColor="text1"/>
          <w:szCs w:val="20"/>
        </w:rPr>
        <w:t>Industrial</w:t>
      </w:r>
      <w:r w:rsidR="00937A9B">
        <w:rPr>
          <w:color w:val="000000" w:themeColor="text1"/>
          <w:szCs w:val="20"/>
        </w:rPr>
        <w:t xml:space="preserve"> </w:t>
      </w:r>
      <w:r w:rsidR="0098597D" w:rsidRPr="00C36E50">
        <w:rPr>
          <w:color w:val="000000" w:themeColor="text1"/>
          <w:szCs w:val="20"/>
        </w:rPr>
        <w:t>Member</w:t>
      </w:r>
      <w:r w:rsidR="001C7824" w:rsidRPr="00C36E50">
        <w:rPr>
          <w:color w:val="000000" w:themeColor="text1"/>
          <w:szCs w:val="20"/>
        </w:rPr>
        <w:t xml:space="preserve">’s </w:t>
      </w:r>
      <w:r w:rsidR="00C373EF" w:rsidRPr="00C36E50">
        <w:rPr>
          <w:color w:val="000000" w:themeColor="text1"/>
          <w:szCs w:val="20"/>
        </w:rPr>
        <w:t>active member</w:t>
      </w:r>
      <w:r w:rsidR="001C7824" w:rsidRPr="00C36E50">
        <w:rPr>
          <w:color w:val="000000" w:themeColor="text1"/>
          <w:szCs w:val="20"/>
        </w:rPr>
        <w:t>ship term</w:t>
      </w:r>
      <w:r w:rsidR="00164870" w:rsidRPr="00C36E50">
        <w:rPr>
          <w:color w:val="000000" w:themeColor="text1"/>
          <w:szCs w:val="20"/>
        </w:rPr>
        <w:t xml:space="preserve">, regardless </w:t>
      </w:r>
      <w:r w:rsidR="00DD49D5" w:rsidRPr="00C36E50">
        <w:rPr>
          <w:color w:val="000000" w:themeColor="text1"/>
          <w:szCs w:val="20"/>
        </w:rPr>
        <w:t xml:space="preserve">of </w:t>
      </w:r>
      <w:r w:rsidR="00164870" w:rsidRPr="00C36E50">
        <w:rPr>
          <w:color w:val="000000" w:themeColor="text1"/>
          <w:szCs w:val="20"/>
        </w:rPr>
        <w:t xml:space="preserve">whether </w:t>
      </w:r>
      <w:r w:rsidR="0098597D" w:rsidRPr="00C36E50">
        <w:rPr>
          <w:color w:val="000000" w:themeColor="text1"/>
          <w:szCs w:val="20"/>
        </w:rPr>
        <w:t>the Industrial Membe</w:t>
      </w:r>
      <w:r w:rsidR="00735E31" w:rsidRPr="00C36E50">
        <w:rPr>
          <w:color w:val="000000" w:themeColor="text1"/>
          <w:szCs w:val="20"/>
        </w:rPr>
        <w:t>r</w:t>
      </w:r>
      <w:r w:rsidR="0098597D" w:rsidRPr="00C36E50">
        <w:rPr>
          <w:color w:val="000000" w:themeColor="text1"/>
          <w:szCs w:val="20"/>
        </w:rPr>
        <w:t xml:space="preserve"> joins </w:t>
      </w:r>
      <w:r w:rsidR="00164870" w:rsidRPr="00C36E50">
        <w:rPr>
          <w:color w:val="000000" w:themeColor="text1"/>
          <w:szCs w:val="20"/>
        </w:rPr>
        <w:t xml:space="preserve">CADMIM on-cycle or mid-cycle. </w:t>
      </w:r>
    </w:p>
    <w:p w14:paraId="14B2AB54" w14:textId="08748302" w:rsidR="00D80466" w:rsidRPr="00C36E50" w:rsidRDefault="00DA372E" w:rsidP="00995D67">
      <w:pPr>
        <w:numPr>
          <w:ilvl w:val="1"/>
          <w:numId w:val="19"/>
        </w:numPr>
        <w:rPr>
          <w:color w:val="000000" w:themeColor="text1"/>
        </w:rPr>
      </w:pPr>
      <w:r w:rsidRPr="00C36E50">
        <w:rPr>
          <w:color w:val="000000" w:themeColor="text1"/>
          <w:szCs w:val="20"/>
        </w:rPr>
        <w:t>G</w:t>
      </w:r>
      <w:r w:rsidR="00D80466" w:rsidRPr="00C36E50">
        <w:rPr>
          <w:color w:val="000000" w:themeColor="text1"/>
          <w:szCs w:val="20"/>
        </w:rPr>
        <w:t xml:space="preserve">overnment laboratories </w:t>
      </w:r>
      <w:r w:rsidRPr="00C36E50">
        <w:rPr>
          <w:color w:val="000000" w:themeColor="text1"/>
          <w:szCs w:val="20"/>
        </w:rPr>
        <w:t xml:space="preserve">can be CADMIM </w:t>
      </w:r>
      <w:r w:rsidR="00D80466" w:rsidRPr="00C36E50">
        <w:rPr>
          <w:color w:val="000000" w:themeColor="text1"/>
          <w:szCs w:val="20"/>
        </w:rPr>
        <w:t xml:space="preserve">IAB members. These government laboratories may elect to take a non-exclusive royalty-free license to CADMIM intellectual property. However, exclusive commercial licenses pertain only to the </w:t>
      </w:r>
      <w:r w:rsidRPr="00C36E50">
        <w:rPr>
          <w:color w:val="000000" w:themeColor="text1"/>
          <w:szCs w:val="20"/>
        </w:rPr>
        <w:t>Industrial Members</w:t>
      </w:r>
      <w:r w:rsidR="00D80466" w:rsidRPr="00C36E50">
        <w:rPr>
          <w:color w:val="000000" w:themeColor="text1"/>
          <w:szCs w:val="20"/>
        </w:rPr>
        <w:t xml:space="preserve"> of CADMIM.</w:t>
      </w:r>
    </w:p>
    <w:p w14:paraId="25636938" w14:textId="40BA7FAB" w:rsidR="007D0B4E" w:rsidRPr="00C36E50" w:rsidRDefault="00D80466" w:rsidP="000841D0">
      <w:pPr>
        <w:numPr>
          <w:ilvl w:val="1"/>
          <w:numId w:val="19"/>
        </w:numPr>
        <w:rPr>
          <w:color w:val="000000" w:themeColor="text1"/>
        </w:rPr>
      </w:pPr>
      <w:r w:rsidRPr="00C36E50">
        <w:rPr>
          <w:color w:val="000000" w:themeColor="text1"/>
          <w:szCs w:val="20"/>
        </w:rPr>
        <w:t xml:space="preserve">“Royalty free” </w:t>
      </w:r>
      <w:r w:rsidR="00DA372E" w:rsidRPr="00C36E50">
        <w:rPr>
          <w:color w:val="000000" w:themeColor="text1"/>
          <w:szCs w:val="20"/>
        </w:rPr>
        <w:t xml:space="preserve">with regard to the option to acquire a non-exclusive license in accordance with </w:t>
      </w:r>
      <w:r w:rsidR="00891B91" w:rsidRPr="00C36E50">
        <w:rPr>
          <w:color w:val="000000" w:themeColor="text1"/>
          <w:szCs w:val="20"/>
        </w:rPr>
        <w:t>Claus</w:t>
      </w:r>
      <w:r w:rsidR="00DD49D5" w:rsidRPr="00C36E50">
        <w:rPr>
          <w:color w:val="000000" w:themeColor="text1"/>
          <w:szCs w:val="20"/>
        </w:rPr>
        <w:t>e</w:t>
      </w:r>
      <w:r w:rsidR="00891B91" w:rsidRPr="00C36E50">
        <w:rPr>
          <w:color w:val="000000" w:themeColor="text1"/>
          <w:szCs w:val="20"/>
        </w:rPr>
        <w:t xml:space="preserve"> G </w:t>
      </w:r>
      <w:r w:rsidR="00DA372E" w:rsidRPr="00C36E50">
        <w:rPr>
          <w:color w:val="000000" w:themeColor="text1"/>
          <w:szCs w:val="20"/>
        </w:rPr>
        <w:t xml:space="preserve">in the </w:t>
      </w:r>
      <w:r w:rsidR="00891B91" w:rsidRPr="00C36E50">
        <w:rPr>
          <w:color w:val="000000" w:themeColor="text1"/>
        </w:rPr>
        <w:t xml:space="preserve">CADMIM I/UCRC Membership Agreement for </w:t>
      </w:r>
      <w:r w:rsidR="00B759EE" w:rsidRPr="00C36E50">
        <w:rPr>
          <w:color w:val="000000" w:themeColor="text1"/>
        </w:rPr>
        <w:t xml:space="preserve">Industrial Members </w:t>
      </w:r>
      <w:r w:rsidR="00DA372E" w:rsidRPr="00C36E50">
        <w:rPr>
          <w:color w:val="000000" w:themeColor="text1"/>
          <w:szCs w:val="20"/>
        </w:rPr>
        <w:t>means that the licensee will pay patent costs and patent maintenance fees only, and only for the countries</w:t>
      </w:r>
      <w:r w:rsidR="00DD49D5" w:rsidRPr="00C36E50">
        <w:rPr>
          <w:color w:val="000000" w:themeColor="text1"/>
          <w:szCs w:val="20"/>
        </w:rPr>
        <w:t xml:space="preserve"> in which</w:t>
      </w:r>
      <w:r w:rsidR="00DA372E" w:rsidRPr="00C36E50">
        <w:rPr>
          <w:color w:val="000000" w:themeColor="text1"/>
          <w:szCs w:val="20"/>
        </w:rPr>
        <w:t xml:space="preserve"> it is interested in acquir</w:t>
      </w:r>
      <w:r w:rsidR="00DD49D5" w:rsidRPr="00C36E50">
        <w:rPr>
          <w:color w:val="000000" w:themeColor="text1"/>
          <w:szCs w:val="20"/>
        </w:rPr>
        <w:t>ing</w:t>
      </w:r>
      <w:r w:rsidR="00DA372E" w:rsidRPr="00C36E50">
        <w:rPr>
          <w:color w:val="000000" w:themeColor="text1"/>
          <w:szCs w:val="20"/>
        </w:rPr>
        <w:t xml:space="preserve"> a non-exclusive license. </w:t>
      </w:r>
      <w:r w:rsidR="00C51C18" w:rsidRPr="00C36E50">
        <w:rPr>
          <w:color w:val="000000" w:themeColor="text1"/>
        </w:rPr>
        <w:t>The payment for patent costs and patent maintenance fees shall be made by an Industrial</w:t>
      </w:r>
      <w:r w:rsidR="00562CB6">
        <w:rPr>
          <w:color w:val="000000" w:themeColor="text1"/>
        </w:rPr>
        <w:t xml:space="preserve"> </w:t>
      </w:r>
      <w:r w:rsidR="00C51C18" w:rsidRPr="00C36E50">
        <w:rPr>
          <w:color w:val="000000" w:themeColor="text1"/>
        </w:rPr>
        <w:t xml:space="preserve">Member within thirty (30) days from the date of invoice to </w:t>
      </w:r>
      <w:r w:rsidR="00B06F89">
        <w:rPr>
          <w:color w:val="000000" w:themeColor="text1"/>
        </w:rPr>
        <w:t>Industrial</w:t>
      </w:r>
      <w:r w:rsidR="00562CB6" w:rsidRPr="00C36E50">
        <w:rPr>
          <w:color w:val="000000" w:themeColor="text1"/>
        </w:rPr>
        <w:t xml:space="preserve"> </w:t>
      </w:r>
      <w:r w:rsidR="00C51C18" w:rsidRPr="00C36E50">
        <w:rPr>
          <w:color w:val="000000" w:themeColor="text1"/>
        </w:rPr>
        <w:t>Member</w:t>
      </w:r>
      <w:r w:rsidR="00C51C18" w:rsidRPr="00C36E50">
        <w:rPr>
          <w:color w:val="000000" w:themeColor="text1"/>
          <w:szCs w:val="20"/>
        </w:rPr>
        <w:t xml:space="preserve">. </w:t>
      </w:r>
      <w:r w:rsidR="00DD49D5" w:rsidRPr="00C36E50">
        <w:rPr>
          <w:color w:val="000000" w:themeColor="text1"/>
          <w:szCs w:val="20"/>
        </w:rPr>
        <w:t>Should a</w:t>
      </w:r>
      <w:r w:rsidR="00DA372E" w:rsidRPr="00C36E50">
        <w:rPr>
          <w:color w:val="000000" w:themeColor="text1"/>
          <w:szCs w:val="20"/>
        </w:rPr>
        <w:t xml:space="preserve"> Member at any time </w:t>
      </w:r>
      <w:r w:rsidR="00DD49D5" w:rsidRPr="00C36E50">
        <w:rPr>
          <w:color w:val="000000" w:themeColor="text1"/>
          <w:szCs w:val="20"/>
        </w:rPr>
        <w:t>stop paying</w:t>
      </w:r>
      <w:r w:rsidR="00DA372E" w:rsidRPr="00C36E50">
        <w:rPr>
          <w:color w:val="000000" w:themeColor="text1"/>
          <w:szCs w:val="20"/>
        </w:rPr>
        <w:t xml:space="preserve"> certain patent and patent maintenance fees</w:t>
      </w:r>
      <w:r w:rsidR="00DD49D5" w:rsidRPr="00C36E50">
        <w:rPr>
          <w:color w:val="000000" w:themeColor="text1"/>
          <w:szCs w:val="20"/>
          <w:u w:val="single"/>
        </w:rPr>
        <w:t>,</w:t>
      </w:r>
      <w:r w:rsidR="00DD49D5" w:rsidRPr="00C36E50">
        <w:rPr>
          <w:color w:val="000000" w:themeColor="text1"/>
          <w:szCs w:val="20"/>
        </w:rPr>
        <w:t xml:space="preserve"> </w:t>
      </w:r>
      <w:r w:rsidR="00A70F8E" w:rsidRPr="00C36E50">
        <w:rPr>
          <w:color w:val="000000" w:themeColor="text1"/>
        </w:rPr>
        <w:t xml:space="preserve">or fail to make payment when due, </w:t>
      </w:r>
      <w:r w:rsidR="00DA372E" w:rsidRPr="00C36E50">
        <w:rPr>
          <w:color w:val="000000" w:themeColor="text1"/>
          <w:szCs w:val="20"/>
        </w:rPr>
        <w:t>its non-exclusive rights for such countries</w:t>
      </w:r>
      <w:r w:rsidR="00DD49D5" w:rsidRPr="00C36E50">
        <w:rPr>
          <w:color w:val="000000" w:themeColor="text1"/>
          <w:szCs w:val="20"/>
        </w:rPr>
        <w:t xml:space="preserve"> will be revoked</w:t>
      </w:r>
      <w:r w:rsidR="00DA372E" w:rsidRPr="00C36E50">
        <w:rPr>
          <w:color w:val="000000" w:themeColor="text1"/>
          <w:szCs w:val="20"/>
        </w:rPr>
        <w:t>.</w:t>
      </w:r>
      <w:r w:rsidR="00C51C18" w:rsidRPr="00C36E50">
        <w:rPr>
          <w:color w:val="000000" w:themeColor="text1"/>
          <w:szCs w:val="20"/>
        </w:rPr>
        <w:t xml:space="preserve"> </w:t>
      </w:r>
    </w:p>
    <w:p w14:paraId="71C8498E" w14:textId="77777777" w:rsidR="007D0B4E" w:rsidRDefault="007D0B4E" w:rsidP="000841D0">
      <w:pPr>
        <w:ind w:left="1440"/>
      </w:pPr>
      <w:r w:rsidRPr="000841D0">
        <w:rPr>
          <w:szCs w:val="20"/>
        </w:rPr>
        <w:t xml:space="preserve">For the avoidance of doubt, patent costs and patent maintenance fees do not include any costs for </w:t>
      </w:r>
      <w:r w:rsidR="00DD49D5">
        <w:rPr>
          <w:szCs w:val="20"/>
        </w:rPr>
        <w:t>enforcing the</w:t>
      </w:r>
      <w:r w:rsidRPr="000841D0">
        <w:rPr>
          <w:szCs w:val="20"/>
        </w:rPr>
        <w:t xml:space="preserve"> patents or taking action against infringement of those rights. </w:t>
      </w:r>
    </w:p>
    <w:p w14:paraId="2BBABFFA" w14:textId="2B6BAC1B" w:rsidR="007D0B4E" w:rsidRDefault="007D0B4E" w:rsidP="000841D0">
      <w:pPr>
        <w:ind w:left="1440"/>
      </w:pPr>
      <w:r>
        <w:rPr>
          <w:szCs w:val="20"/>
        </w:rPr>
        <w:t>The payment of patent</w:t>
      </w:r>
      <w:r w:rsidRPr="00995D67">
        <w:rPr>
          <w:szCs w:val="20"/>
        </w:rPr>
        <w:t xml:space="preserve"> costs</w:t>
      </w:r>
      <w:r>
        <w:rPr>
          <w:szCs w:val="20"/>
        </w:rPr>
        <w:t xml:space="preserve"> and patent maintenance fees shall</w:t>
      </w:r>
      <w:r w:rsidR="00DD49D5">
        <w:rPr>
          <w:szCs w:val="20"/>
        </w:rPr>
        <w:t>,</w:t>
      </w:r>
      <w:r>
        <w:rPr>
          <w:szCs w:val="20"/>
        </w:rPr>
        <w:t xml:space="preserve"> however</w:t>
      </w:r>
      <w:r w:rsidR="00DD49D5">
        <w:rPr>
          <w:szCs w:val="20"/>
        </w:rPr>
        <w:t>,</w:t>
      </w:r>
      <w:r>
        <w:rPr>
          <w:szCs w:val="20"/>
        </w:rPr>
        <w:t xml:space="preserve"> only be made under the condition that the respective Academic Member(s) will c</w:t>
      </w:r>
      <w:r w:rsidRPr="0039394F">
        <w:rPr>
          <w:szCs w:val="20"/>
        </w:rPr>
        <w:t xml:space="preserve">losely cooperate with </w:t>
      </w:r>
      <w:r w:rsidRPr="002757B6">
        <w:rPr>
          <w:szCs w:val="20"/>
        </w:rPr>
        <w:t>the respective Industrial</w:t>
      </w:r>
      <w:r w:rsidR="00937A9B">
        <w:rPr>
          <w:szCs w:val="20"/>
        </w:rPr>
        <w:t xml:space="preserve"> </w:t>
      </w:r>
      <w:r w:rsidRPr="002757B6">
        <w:rPr>
          <w:szCs w:val="20"/>
        </w:rPr>
        <w:t xml:space="preserve">Members, which have exercised the option to acquire a license. Both the respective Academic Member(s) and the respective Industrial Member(s) will work together in the most efficient way to protect the invention in the best possible way. </w:t>
      </w:r>
      <w:r w:rsidRPr="003F2EA1">
        <w:rPr>
          <w:szCs w:val="20"/>
        </w:rPr>
        <w:t>Both</w:t>
      </w:r>
      <w:r w:rsidRPr="00677129">
        <w:rPr>
          <w:szCs w:val="20"/>
        </w:rPr>
        <w:t xml:space="preserve"> will agree on the countries in which </w:t>
      </w:r>
      <w:r w:rsidRPr="00DA04C0">
        <w:rPr>
          <w:szCs w:val="20"/>
        </w:rPr>
        <w:t>patent appl</w:t>
      </w:r>
      <w:r w:rsidRPr="006373B1">
        <w:rPr>
          <w:szCs w:val="20"/>
        </w:rPr>
        <w:t xml:space="preserve">ications should be filed and the scope of the </w:t>
      </w:r>
      <w:r w:rsidRPr="0041469F">
        <w:rPr>
          <w:szCs w:val="20"/>
        </w:rPr>
        <w:t xml:space="preserve">respective claims. This cooperation includes, without limitation, the provision </w:t>
      </w:r>
      <w:r w:rsidRPr="0041469F">
        <w:rPr>
          <w:szCs w:val="20"/>
        </w:rPr>
        <w:lastRenderedPageBreak/>
        <w:t xml:space="preserve">of all draft patent applications and any other relevant correspondence and interaction exchanged with patent offices and patent attorneys in good time to </w:t>
      </w:r>
      <w:r w:rsidRPr="0041469F">
        <w:rPr>
          <w:szCs w:val="20"/>
          <w:lang w:val="en-GB"/>
        </w:rPr>
        <w:t>the respective Industrial Members</w:t>
      </w:r>
      <w:r w:rsidRPr="0041469F">
        <w:rPr>
          <w:szCs w:val="20"/>
        </w:rPr>
        <w:t xml:space="preserve"> so that they are able to</w:t>
      </w:r>
      <w:r>
        <w:rPr>
          <w:szCs w:val="20"/>
        </w:rPr>
        <w:t xml:space="preserve"> </w:t>
      </w:r>
      <w:r w:rsidRPr="004F2983">
        <w:rPr>
          <w:szCs w:val="20"/>
          <w:lang w:val="en-GB"/>
        </w:rPr>
        <w:t xml:space="preserve">give their input thereto. </w:t>
      </w:r>
      <w:r>
        <w:rPr>
          <w:szCs w:val="20"/>
          <w:lang w:val="en-GB"/>
        </w:rPr>
        <w:t xml:space="preserve"> Furthermore, the </w:t>
      </w:r>
      <w:r>
        <w:rPr>
          <w:szCs w:val="20"/>
        </w:rPr>
        <w:t>respective Academic Member(s) shall always inform the respective Industrial Member(s) well in advance of any costs they are going to incur</w:t>
      </w:r>
      <w:r>
        <w:t>.</w:t>
      </w:r>
    </w:p>
    <w:p w14:paraId="3663A92C" w14:textId="2AE2F0B1" w:rsidR="007D0B4E" w:rsidRDefault="007D0B4E" w:rsidP="000841D0">
      <w:pPr>
        <w:numPr>
          <w:ilvl w:val="1"/>
          <w:numId w:val="19"/>
        </w:numPr>
        <w:rPr>
          <w:szCs w:val="20"/>
        </w:rPr>
      </w:pPr>
      <w:r>
        <w:rPr>
          <w:szCs w:val="20"/>
        </w:rPr>
        <w:t>In case a</w:t>
      </w:r>
      <w:r w:rsidR="00D10776">
        <w:rPr>
          <w:szCs w:val="20"/>
        </w:rPr>
        <w:t xml:space="preserve">n </w:t>
      </w:r>
      <w:r>
        <w:rPr>
          <w:szCs w:val="20"/>
        </w:rPr>
        <w:t>Industrial Member</w:t>
      </w:r>
      <w:r w:rsidRPr="007D4AD8">
        <w:rPr>
          <w:szCs w:val="20"/>
        </w:rPr>
        <w:t xml:space="preserve"> </w:t>
      </w:r>
      <w:r>
        <w:rPr>
          <w:szCs w:val="20"/>
        </w:rPr>
        <w:t>choses to acquire an exclusive license, the respective Academic Member(s) and the respective interested Industrial Member</w:t>
      </w:r>
      <w:r w:rsidRPr="007D4AD8">
        <w:rPr>
          <w:szCs w:val="20"/>
        </w:rPr>
        <w:t xml:space="preserve"> will enter into good faith negotiations about the terms of such an </w:t>
      </w:r>
      <w:r>
        <w:rPr>
          <w:szCs w:val="20"/>
        </w:rPr>
        <w:t xml:space="preserve">exclusive license. </w:t>
      </w:r>
      <w:r w:rsidRPr="007D4AD8">
        <w:rPr>
          <w:szCs w:val="20"/>
        </w:rPr>
        <w:t>The calculation of this license fee will take into account the</w:t>
      </w:r>
      <w:r>
        <w:rPr>
          <w:szCs w:val="20"/>
        </w:rPr>
        <w:t xml:space="preserve"> </w:t>
      </w:r>
      <w:r w:rsidRPr="007D4AD8">
        <w:rPr>
          <w:szCs w:val="20"/>
        </w:rPr>
        <w:t xml:space="preserve">economic significance of </w:t>
      </w:r>
      <w:r>
        <w:rPr>
          <w:szCs w:val="20"/>
        </w:rPr>
        <w:t>the invention</w:t>
      </w:r>
      <w:r w:rsidRPr="007D4AD8">
        <w:rPr>
          <w:szCs w:val="20"/>
        </w:rPr>
        <w:t xml:space="preserve"> for </w:t>
      </w:r>
      <w:r>
        <w:rPr>
          <w:szCs w:val="20"/>
        </w:rPr>
        <w:t xml:space="preserve">the respective Industrial Member(s) </w:t>
      </w:r>
      <w:r w:rsidRPr="007D4AD8">
        <w:rPr>
          <w:szCs w:val="20"/>
        </w:rPr>
        <w:t xml:space="preserve">as well as, where necessary, costs of patent rights incurred and any further research and development activities necessary for the commercialization of a product. </w:t>
      </w:r>
    </w:p>
    <w:p w14:paraId="285DBE2C" w14:textId="1F8F279E" w:rsidR="007D0B4E" w:rsidRDefault="007D0B4E" w:rsidP="000841D0">
      <w:pPr>
        <w:ind w:left="1440"/>
        <w:rPr>
          <w:szCs w:val="20"/>
        </w:rPr>
      </w:pPr>
      <w:r w:rsidRPr="00677129">
        <w:rPr>
          <w:szCs w:val="20"/>
        </w:rPr>
        <w:t>Notwithstanding the foregoing and whether agreement can be reached on the terms for the acquisition of an exclusive license, the Industrial Members shall in any case keep the right to acquire a non-exclusive license, subject to the provisions foreseen hereunder for such an acquisition.</w:t>
      </w:r>
    </w:p>
    <w:p w14:paraId="2F5578E0" w14:textId="77777777" w:rsidR="005A55BF" w:rsidRPr="000272B1" w:rsidRDefault="004059E6" w:rsidP="00961AF2">
      <w:pPr>
        <w:numPr>
          <w:ilvl w:val="1"/>
          <w:numId w:val="19"/>
        </w:numPr>
        <w:rPr>
          <w:sz w:val="22"/>
        </w:rPr>
      </w:pPr>
      <w:r>
        <w:rPr>
          <w:rFonts w:eastAsia="Times New Roman"/>
          <w:bCs/>
          <w:szCs w:val="20"/>
        </w:rPr>
        <w:t xml:space="preserve">Intellectual property and potential intellectual property will be disclosed to the IAB in the form of an invention disclosure or a provisional patent. Academic Members will pay the fees for conversion of an invention disclosure to a provisional patent after the 60-day </w:t>
      </w:r>
      <w:r w:rsidRPr="000272B1">
        <w:rPr>
          <w:rFonts w:eastAsia="Times New Roman"/>
          <w:bCs/>
          <w:szCs w:val="20"/>
        </w:rPr>
        <w:t xml:space="preserve">exclusive IAB evaluation period. </w:t>
      </w:r>
    </w:p>
    <w:p w14:paraId="7D0AE983" w14:textId="3B690487" w:rsidR="001C25A4" w:rsidRDefault="001C25A4" w:rsidP="001C25A4">
      <w:pPr>
        <w:numPr>
          <w:ilvl w:val="1"/>
          <w:numId w:val="19"/>
        </w:numPr>
        <w:rPr>
          <w:szCs w:val="20"/>
        </w:rPr>
      </w:pPr>
      <w:r w:rsidRPr="000272B1">
        <w:rPr>
          <w:szCs w:val="20"/>
        </w:rPr>
        <w:t xml:space="preserve">Any CADMIM-generated intellectual property that was not licensed during the 60-day exclusive IAB evaluation period </w:t>
      </w:r>
      <w:r w:rsidR="00936770" w:rsidRPr="000272B1">
        <w:rPr>
          <w:szCs w:val="20"/>
        </w:rPr>
        <w:t xml:space="preserve">by </w:t>
      </w:r>
      <w:r w:rsidRPr="000272B1">
        <w:rPr>
          <w:szCs w:val="20"/>
        </w:rPr>
        <w:t>cash-paying Industrial Members</w:t>
      </w:r>
      <w:r w:rsidR="00D10776">
        <w:rPr>
          <w:szCs w:val="20"/>
        </w:rPr>
        <w:t xml:space="preserve"> or in-kind Industrial Members that </w:t>
      </w:r>
      <w:r w:rsidR="00D10776" w:rsidRPr="00994E9A">
        <w:rPr>
          <w:bCs/>
          <w:iCs/>
          <w:szCs w:val="20"/>
        </w:rPr>
        <w:t>contributed to the project that generated the invention</w:t>
      </w:r>
      <w:r w:rsidR="00D10776" w:rsidRPr="000272B1">
        <w:rPr>
          <w:szCs w:val="20"/>
        </w:rPr>
        <w:t xml:space="preserve"> </w:t>
      </w:r>
      <w:r w:rsidRPr="000272B1">
        <w:rPr>
          <w:szCs w:val="20"/>
        </w:rPr>
        <w:t xml:space="preserve">can then be licensed by </w:t>
      </w:r>
      <w:r w:rsidR="00846DA9">
        <w:rPr>
          <w:szCs w:val="20"/>
        </w:rPr>
        <w:t xml:space="preserve">the remaining </w:t>
      </w:r>
      <w:r w:rsidRPr="000272B1">
        <w:rPr>
          <w:szCs w:val="20"/>
        </w:rPr>
        <w:t>In-Kind members</w:t>
      </w:r>
      <w:r w:rsidR="00320FE9">
        <w:rPr>
          <w:szCs w:val="20"/>
        </w:rPr>
        <w:t xml:space="preserve"> and/or Association Members</w:t>
      </w:r>
      <w:r w:rsidR="00C158A7">
        <w:rPr>
          <w:szCs w:val="20"/>
        </w:rPr>
        <w:t xml:space="preserve"> </w:t>
      </w:r>
      <w:r w:rsidRPr="000272B1">
        <w:rPr>
          <w:szCs w:val="20"/>
        </w:rPr>
        <w:t xml:space="preserve">or non-IAB entities. </w:t>
      </w:r>
      <w:r w:rsidRPr="00CD1C30">
        <w:rPr>
          <w:szCs w:val="20"/>
        </w:rPr>
        <w:t xml:space="preserve">All non-IAB licenses will be fee bearing. </w:t>
      </w:r>
      <w:r w:rsidRPr="00110F18">
        <w:rPr>
          <w:szCs w:val="20"/>
        </w:rPr>
        <w:t xml:space="preserve">A license for an </w:t>
      </w:r>
      <w:r w:rsidR="00320FE9">
        <w:rPr>
          <w:szCs w:val="20"/>
        </w:rPr>
        <w:t>IAB</w:t>
      </w:r>
      <w:r w:rsidR="00562CB6">
        <w:rPr>
          <w:szCs w:val="20"/>
        </w:rPr>
        <w:t xml:space="preserve"> Member</w:t>
      </w:r>
      <w:r w:rsidRPr="00110F18">
        <w:rPr>
          <w:szCs w:val="20"/>
        </w:rPr>
        <w:t xml:space="preserve"> for intellectual property disclosed while that </w:t>
      </w:r>
      <w:r w:rsidR="00320FE9">
        <w:rPr>
          <w:szCs w:val="20"/>
        </w:rPr>
        <w:t>IAB</w:t>
      </w:r>
      <w:r w:rsidRPr="00110F18">
        <w:rPr>
          <w:szCs w:val="20"/>
        </w:rPr>
        <w:t xml:space="preserve"> Member was not an active member of the Center will also be fee bearing.</w:t>
      </w:r>
      <w:r>
        <w:rPr>
          <w:szCs w:val="20"/>
        </w:rPr>
        <w:t xml:space="preserve"> </w:t>
      </w:r>
    </w:p>
    <w:p w14:paraId="337E8A3D" w14:textId="76EB2005" w:rsidR="007E6BBC" w:rsidRPr="001C25A4" w:rsidRDefault="007E6BBC" w:rsidP="001C25A4">
      <w:pPr>
        <w:numPr>
          <w:ilvl w:val="1"/>
          <w:numId w:val="19"/>
        </w:numPr>
        <w:rPr>
          <w:szCs w:val="20"/>
        </w:rPr>
      </w:pPr>
      <w:r>
        <w:rPr>
          <w:szCs w:val="20"/>
        </w:rPr>
        <w:t xml:space="preserve">During the </w:t>
      </w:r>
      <w:r w:rsidRPr="00C36B24">
        <w:rPr>
          <w:szCs w:val="20"/>
        </w:rPr>
        <w:t>60-day evaluation</w:t>
      </w:r>
      <w:r>
        <w:rPr>
          <w:szCs w:val="20"/>
        </w:rPr>
        <w:t xml:space="preserve"> period, an Industrial Member will not be notified if another Industrial Member has indicated interest in </w:t>
      </w:r>
      <w:r>
        <w:rPr>
          <w:rFonts w:eastAsia="Times New Roman"/>
          <w:color w:val="000000"/>
          <w:szCs w:val="20"/>
        </w:rPr>
        <w:t>seeking</w:t>
      </w:r>
      <w:r w:rsidRPr="000031A5">
        <w:rPr>
          <w:rFonts w:eastAsia="Times New Roman"/>
          <w:color w:val="000000"/>
          <w:szCs w:val="20"/>
        </w:rPr>
        <w:t xml:space="preserve"> a license</w:t>
      </w:r>
      <w:r w:rsidR="00C51C18">
        <w:rPr>
          <w:rFonts w:eastAsia="Times New Roman"/>
          <w:color w:val="000000"/>
          <w:szCs w:val="20"/>
        </w:rPr>
        <w:t>. A</w:t>
      </w:r>
      <w:r>
        <w:rPr>
          <w:rFonts w:eastAsia="Times New Roman"/>
          <w:color w:val="000000"/>
          <w:szCs w:val="20"/>
        </w:rPr>
        <w:t>fter the 60-day evaluation period concludes</w:t>
      </w:r>
      <w:r w:rsidR="00C51C18">
        <w:rPr>
          <w:rFonts w:eastAsia="Times New Roman"/>
          <w:color w:val="000000"/>
          <w:szCs w:val="20"/>
        </w:rPr>
        <w:t>, an Industrial Member</w:t>
      </w:r>
      <w:r>
        <w:rPr>
          <w:rFonts w:eastAsia="Times New Roman"/>
          <w:color w:val="000000"/>
          <w:szCs w:val="20"/>
        </w:rPr>
        <w:t xml:space="preserve"> </w:t>
      </w:r>
      <w:r w:rsidR="00C51C18">
        <w:rPr>
          <w:rFonts w:eastAsia="Times New Roman"/>
          <w:color w:val="000000"/>
          <w:szCs w:val="20"/>
        </w:rPr>
        <w:t>who has indicated interest will be informed if o</w:t>
      </w:r>
      <w:r>
        <w:rPr>
          <w:rFonts w:eastAsia="Times New Roman"/>
          <w:color w:val="000000"/>
          <w:szCs w:val="20"/>
        </w:rPr>
        <w:t xml:space="preserve">ther parties </w:t>
      </w:r>
      <w:r w:rsidR="00C51C18">
        <w:rPr>
          <w:rFonts w:eastAsia="Times New Roman"/>
          <w:color w:val="000000"/>
          <w:szCs w:val="20"/>
        </w:rPr>
        <w:t xml:space="preserve">are also </w:t>
      </w:r>
      <w:r>
        <w:rPr>
          <w:rFonts w:eastAsia="Times New Roman"/>
          <w:color w:val="000000"/>
          <w:szCs w:val="20"/>
        </w:rPr>
        <w:t xml:space="preserve">seeking a license. </w:t>
      </w:r>
    </w:p>
    <w:p w14:paraId="26AD3303" w14:textId="73DDDA1C" w:rsidR="00BC0A2E" w:rsidRPr="00BC0A2E" w:rsidRDefault="004D0AD8" w:rsidP="00285E82">
      <w:pPr>
        <w:numPr>
          <w:ilvl w:val="0"/>
          <w:numId w:val="19"/>
        </w:numPr>
        <w:rPr>
          <w:color w:val="000000"/>
        </w:rPr>
      </w:pPr>
      <w:r w:rsidRPr="00BC0A2E">
        <w:rPr>
          <w:bCs/>
          <w:color w:val="000000"/>
          <w:u w:val="single"/>
        </w:rPr>
        <w:t>Pre-existing intellectual property:</w:t>
      </w:r>
      <w:r w:rsidRPr="00BC0A2E">
        <w:rPr>
          <w:color w:val="000000"/>
        </w:rPr>
        <w:t xml:space="preserve">  No CADMIM </w:t>
      </w:r>
      <w:r w:rsidR="00DD21C8" w:rsidRPr="00BC0A2E">
        <w:rPr>
          <w:color w:val="000000"/>
        </w:rPr>
        <w:t>Academic o</w:t>
      </w:r>
      <w:r w:rsidR="002917B0">
        <w:rPr>
          <w:color w:val="000000"/>
        </w:rPr>
        <w:t>r</w:t>
      </w:r>
      <w:r w:rsidR="00DD21C8" w:rsidRPr="00BC0A2E">
        <w:rPr>
          <w:color w:val="000000"/>
        </w:rPr>
        <w:t xml:space="preserve"> </w:t>
      </w:r>
      <w:r w:rsidR="001F403C">
        <w:rPr>
          <w:color w:val="000000"/>
        </w:rPr>
        <w:t>IAB</w:t>
      </w:r>
      <w:r w:rsidR="00562CB6">
        <w:rPr>
          <w:color w:val="000000"/>
        </w:rPr>
        <w:t xml:space="preserve"> </w:t>
      </w:r>
      <w:r w:rsidR="00DD21C8" w:rsidRPr="00BC0A2E">
        <w:rPr>
          <w:color w:val="000000"/>
        </w:rPr>
        <w:t>M</w:t>
      </w:r>
      <w:r w:rsidRPr="00BC0A2E">
        <w:rPr>
          <w:color w:val="000000"/>
        </w:rPr>
        <w:t xml:space="preserve">ember shall have any claim or right to proprietary intellectual property (“PIP”) of another CADMIM </w:t>
      </w:r>
      <w:r w:rsidR="00DD21C8" w:rsidRPr="00BC0A2E">
        <w:rPr>
          <w:color w:val="000000"/>
        </w:rPr>
        <w:t xml:space="preserve">Academic or </w:t>
      </w:r>
      <w:r w:rsidR="001F403C">
        <w:rPr>
          <w:color w:val="000000"/>
        </w:rPr>
        <w:t>IAB</w:t>
      </w:r>
      <w:r w:rsidR="00DD21C8" w:rsidRPr="00BC0A2E">
        <w:rPr>
          <w:color w:val="000000"/>
        </w:rPr>
        <w:t xml:space="preserve"> Member</w:t>
      </w:r>
      <w:r w:rsidR="00DD21C8" w:rsidRPr="00BC0A2E" w:rsidDel="00DD21C8">
        <w:rPr>
          <w:color w:val="000000"/>
        </w:rPr>
        <w:t xml:space="preserve"> </w:t>
      </w:r>
      <w:r w:rsidRPr="00BC0A2E">
        <w:rPr>
          <w:color w:val="000000"/>
        </w:rPr>
        <w:t xml:space="preserve">when the PIP is used in CADMIM research. The CADMIM </w:t>
      </w:r>
      <w:r w:rsidR="00DD21C8" w:rsidRPr="00BC0A2E">
        <w:rPr>
          <w:color w:val="000000"/>
        </w:rPr>
        <w:t xml:space="preserve">Academic or </w:t>
      </w:r>
      <w:r w:rsidR="001F403C">
        <w:rPr>
          <w:color w:val="000000"/>
        </w:rPr>
        <w:t>IAB</w:t>
      </w:r>
      <w:r w:rsidR="00296B0C">
        <w:rPr>
          <w:color w:val="000000"/>
        </w:rPr>
        <w:t xml:space="preserve"> </w:t>
      </w:r>
      <w:r w:rsidR="00DD21C8" w:rsidRPr="00BC0A2E">
        <w:rPr>
          <w:color w:val="000000"/>
        </w:rPr>
        <w:t>Member</w:t>
      </w:r>
      <w:r w:rsidR="00DD21C8" w:rsidRPr="00BC0A2E" w:rsidDel="00DD21C8">
        <w:rPr>
          <w:color w:val="000000"/>
        </w:rPr>
        <w:t xml:space="preserve"> </w:t>
      </w:r>
      <w:r w:rsidRPr="00BC0A2E">
        <w:rPr>
          <w:color w:val="000000"/>
        </w:rPr>
        <w:t>who owns the PIP can provide the PIP under terms which limit its use to CADMIM research only, with confidentiality provisions if appropriate.</w:t>
      </w:r>
    </w:p>
    <w:p w14:paraId="5D8ACDA2" w14:textId="6F7542D3" w:rsidR="00BC0A2E" w:rsidRPr="00CC0721" w:rsidRDefault="004D0AD8" w:rsidP="00BC0A2E">
      <w:pPr>
        <w:numPr>
          <w:ilvl w:val="0"/>
          <w:numId w:val="19"/>
        </w:numPr>
        <w:rPr>
          <w:b/>
          <w:sz w:val="22"/>
        </w:rPr>
      </w:pPr>
      <w:r w:rsidRPr="00BC0A2E">
        <w:rPr>
          <w:bCs/>
          <w:color w:val="000000"/>
          <w:u w:val="single"/>
        </w:rPr>
        <w:t>New Inventions:</w:t>
      </w:r>
      <w:r w:rsidRPr="00BC0A2E">
        <w:rPr>
          <w:color w:val="000000"/>
        </w:rPr>
        <w:t xml:space="preserve">  New Inventions are defined as any protectable intellectual property that is conceived and reduced to practice during the course of CADMIM research. A CADMIM </w:t>
      </w:r>
      <w:r w:rsidR="00DD21C8" w:rsidRPr="00BC0A2E">
        <w:rPr>
          <w:color w:val="000000"/>
        </w:rPr>
        <w:t xml:space="preserve">Academic or </w:t>
      </w:r>
      <w:r w:rsidR="001F403C">
        <w:rPr>
          <w:color w:val="000000"/>
        </w:rPr>
        <w:t xml:space="preserve">IAB </w:t>
      </w:r>
      <w:r w:rsidR="00DD21C8" w:rsidRPr="00BC0A2E">
        <w:rPr>
          <w:color w:val="000000"/>
        </w:rPr>
        <w:t>Member</w:t>
      </w:r>
      <w:r w:rsidR="00DD21C8" w:rsidRPr="00BC0A2E" w:rsidDel="00DD21C8">
        <w:rPr>
          <w:color w:val="000000"/>
        </w:rPr>
        <w:t xml:space="preserve"> </w:t>
      </w:r>
      <w:r w:rsidRPr="00BC0A2E">
        <w:rPr>
          <w:color w:val="000000"/>
        </w:rPr>
        <w:t>shall own all right, title</w:t>
      </w:r>
      <w:r w:rsidR="00DD21C8" w:rsidRPr="00BC0A2E">
        <w:rPr>
          <w:color w:val="000000"/>
        </w:rPr>
        <w:t>,</w:t>
      </w:r>
      <w:r w:rsidRPr="00BC0A2E">
        <w:rPr>
          <w:color w:val="000000"/>
        </w:rPr>
        <w:t xml:space="preserve"> and interest in New Inventions conceived and reduced to practice solely by employees, agents or consultants of that CADMIM </w:t>
      </w:r>
      <w:r w:rsidR="00DD21C8" w:rsidRPr="00BC0A2E">
        <w:rPr>
          <w:color w:val="000000"/>
        </w:rPr>
        <w:t>Member</w:t>
      </w:r>
      <w:r w:rsidR="00DD21C8" w:rsidRPr="00BC0A2E" w:rsidDel="00DD21C8">
        <w:rPr>
          <w:color w:val="000000"/>
        </w:rPr>
        <w:t xml:space="preserve"> </w:t>
      </w:r>
      <w:r w:rsidRPr="00BC0A2E">
        <w:rPr>
          <w:color w:val="000000"/>
        </w:rPr>
        <w:t xml:space="preserve">during the term of this Agreement.  For all New Inventions conceived and reduced to practice jointly by employees, agents or consultants of more than one CADMIM </w:t>
      </w:r>
      <w:r w:rsidR="00DD21C8" w:rsidRPr="00BC0A2E">
        <w:rPr>
          <w:color w:val="000000"/>
        </w:rPr>
        <w:t xml:space="preserve">Academic or </w:t>
      </w:r>
      <w:r w:rsidR="001F403C">
        <w:rPr>
          <w:color w:val="000000"/>
        </w:rPr>
        <w:t>IAB</w:t>
      </w:r>
      <w:r w:rsidR="00DD21C8" w:rsidRPr="00BC0A2E">
        <w:rPr>
          <w:color w:val="000000"/>
        </w:rPr>
        <w:t xml:space="preserve"> Member</w:t>
      </w:r>
      <w:r w:rsidR="00DD21C8" w:rsidRPr="00BC0A2E" w:rsidDel="00DD21C8">
        <w:rPr>
          <w:color w:val="000000"/>
        </w:rPr>
        <w:t xml:space="preserve"> </w:t>
      </w:r>
      <w:r w:rsidRPr="00BC0A2E">
        <w:rPr>
          <w:color w:val="000000"/>
        </w:rPr>
        <w:t xml:space="preserve">(“Joint New </w:t>
      </w:r>
      <w:r w:rsidRPr="00BC0A2E">
        <w:rPr>
          <w:color w:val="000000"/>
        </w:rPr>
        <w:lastRenderedPageBreak/>
        <w:t xml:space="preserve">Inventions”), those CADMIM </w:t>
      </w:r>
      <w:r w:rsidR="00DD21C8" w:rsidRPr="00BC0A2E">
        <w:rPr>
          <w:color w:val="000000"/>
        </w:rPr>
        <w:t>Members</w:t>
      </w:r>
      <w:r w:rsidR="00DD21C8" w:rsidRPr="00BC0A2E" w:rsidDel="00DD21C8">
        <w:rPr>
          <w:color w:val="000000"/>
        </w:rPr>
        <w:t xml:space="preserve"> </w:t>
      </w:r>
      <w:r w:rsidRPr="00BC0A2E">
        <w:rPr>
          <w:color w:val="000000"/>
        </w:rPr>
        <w:t>shall jointly own an equal, undivided interest in such Joint New Inventions.  With respect to patents and patent applications, ownership of the New Inventions shall be determined by inventorship of the claimed subject matter, which shall in turn be determined according to U.S. Patent law.</w:t>
      </w:r>
    </w:p>
    <w:p w14:paraId="30FFADFF" w14:textId="1217482B" w:rsidR="002869DB" w:rsidRPr="00CC0721" w:rsidRDefault="002869DB" w:rsidP="00E02CCC">
      <w:pPr>
        <w:numPr>
          <w:ilvl w:val="0"/>
          <w:numId w:val="19"/>
        </w:numPr>
        <w:rPr>
          <w:b/>
          <w:szCs w:val="20"/>
        </w:rPr>
      </w:pPr>
      <w:r w:rsidRPr="002869DB">
        <w:rPr>
          <w:bCs/>
          <w:color w:val="000000"/>
          <w:szCs w:val="20"/>
          <w:u w:val="single"/>
        </w:rPr>
        <w:t xml:space="preserve">Regarding </w:t>
      </w:r>
      <w:r w:rsidRPr="00E02CCC">
        <w:rPr>
          <w:bCs/>
          <w:color w:val="000000"/>
          <w:szCs w:val="20"/>
          <w:u w:val="single"/>
        </w:rPr>
        <w:t xml:space="preserve">software developed by CADMIM (Article I in the membership agreement): </w:t>
      </w:r>
      <w:r w:rsidRPr="00CC0721">
        <w:rPr>
          <w:szCs w:val="20"/>
        </w:rPr>
        <w:t>Each Industrial</w:t>
      </w:r>
      <w:r w:rsidR="00296B0C">
        <w:rPr>
          <w:szCs w:val="20"/>
        </w:rPr>
        <w:t xml:space="preserve"> </w:t>
      </w:r>
      <w:r w:rsidRPr="00CC0721">
        <w:rPr>
          <w:szCs w:val="20"/>
        </w:rPr>
        <w:t>Member shall advise each Academic Member or Affiliated University holding an ownership interest in the Center Sponsored Software of interest in writing within sixty (60) days following Academic Member's/Affiliate University’s disclosure as to whether or not it elects to secure a license in said CADMIM Software.</w:t>
      </w:r>
    </w:p>
    <w:p w14:paraId="5BC2E9ED" w14:textId="77777777" w:rsidR="00231826" w:rsidRPr="00BD056E" w:rsidRDefault="00231826" w:rsidP="00231826">
      <w:pPr>
        <w:pStyle w:val="Heading1"/>
      </w:pPr>
      <w:r>
        <w:t xml:space="preserve">Article </w:t>
      </w:r>
      <w:r w:rsidR="00A02781">
        <w:t>15</w:t>
      </w:r>
      <w:r>
        <w:t xml:space="preserve">: </w:t>
      </w:r>
      <w:r>
        <w:tab/>
        <w:t>Changes to Bylaws</w:t>
      </w:r>
    </w:p>
    <w:p w14:paraId="5F94FE37" w14:textId="0B8921EB" w:rsidR="00231826" w:rsidRDefault="00231826" w:rsidP="00231826">
      <w:pPr>
        <w:numPr>
          <w:ilvl w:val="0"/>
          <w:numId w:val="24"/>
        </w:numPr>
        <w:ind w:left="720"/>
      </w:pPr>
      <w:r>
        <w:t xml:space="preserve">These bylaws may be amended as necessary to accomplish CADMIM’s objectives. Proposed bylaw changes are approved by the Executive Committee and the </w:t>
      </w:r>
      <w:r w:rsidR="001F0296">
        <w:t>IAB</w:t>
      </w:r>
      <w:r>
        <w:t>. Approval of a bylaw change by the IAB requires a quorum and approval by at least two-thirds (2/3) of the voting IAB members present (in person or by proxy).</w:t>
      </w:r>
    </w:p>
    <w:p w14:paraId="71E96B01" w14:textId="77777777" w:rsidR="00812A10" w:rsidRDefault="00812A10" w:rsidP="005661CF"/>
    <w:p w14:paraId="22BAFC34" w14:textId="77777777" w:rsidR="00936770" w:rsidRPr="00CA44A3" w:rsidRDefault="002B47BE" w:rsidP="00CA44A3">
      <w:pPr>
        <w:rPr>
          <w:szCs w:val="20"/>
        </w:rPr>
      </w:pPr>
      <w:r>
        <w:t xml:space="preserve"> </w:t>
      </w:r>
    </w:p>
    <w:p w14:paraId="7A6A0DA9" w14:textId="77777777" w:rsidR="005661CF" w:rsidRPr="00102A4E" w:rsidRDefault="005661CF" w:rsidP="00EE63A5">
      <w:pPr>
        <w:spacing w:after="0" w:line="240" w:lineRule="auto"/>
      </w:pPr>
    </w:p>
    <w:sectPr w:rsidR="005661CF" w:rsidRPr="00102A4E" w:rsidSect="00481405">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CFEF" w14:textId="77777777" w:rsidR="002E306E" w:rsidRDefault="002E306E" w:rsidP="00892655">
      <w:pPr>
        <w:spacing w:after="0" w:line="240" w:lineRule="auto"/>
      </w:pPr>
      <w:r>
        <w:separator/>
      </w:r>
    </w:p>
  </w:endnote>
  <w:endnote w:type="continuationSeparator" w:id="0">
    <w:p w14:paraId="7D5AA003" w14:textId="77777777" w:rsidR="002E306E" w:rsidRDefault="002E306E" w:rsidP="0089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2FD3" w14:textId="77777777" w:rsidR="007C25A6" w:rsidRDefault="007C25A6" w:rsidP="00061920">
    <w:pPr>
      <w:pStyle w:val="Footer"/>
      <w:jc w:val="center"/>
    </w:pPr>
    <w:r>
      <w:fldChar w:fldCharType="begin"/>
    </w:r>
    <w:r>
      <w:instrText xml:space="preserve"> PAGE   \* MERGEFORMAT </w:instrText>
    </w:r>
    <w:r>
      <w:fldChar w:fldCharType="separate"/>
    </w:r>
    <w:r w:rsidR="00CA3D49">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6F309" w14:textId="77777777" w:rsidR="002E306E" w:rsidRDefault="002E306E" w:rsidP="00892655">
      <w:pPr>
        <w:spacing w:after="0" w:line="240" w:lineRule="auto"/>
      </w:pPr>
      <w:r>
        <w:separator/>
      </w:r>
    </w:p>
  </w:footnote>
  <w:footnote w:type="continuationSeparator" w:id="0">
    <w:p w14:paraId="69AB091C" w14:textId="77777777" w:rsidR="002E306E" w:rsidRDefault="002E306E" w:rsidP="00892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4087" w14:textId="77777777" w:rsidR="007C25A6" w:rsidRPr="00110CB6" w:rsidRDefault="007C25A6" w:rsidP="0094044E">
    <w:pPr>
      <w:pStyle w:val="Header"/>
      <w:jc w:val="center"/>
      <w:rPr>
        <w:i/>
      </w:rPr>
    </w:pPr>
    <w:r w:rsidRPr="00110CB6">
      <w:rPr>
        <w:i/>
      </w:rPr>
      <w:t>Center for Advanced Design and Manufactu</w:t>
    </w:r>
    <w:r>
      <w:rPr>
        <w:i/>
      </w:rPr>
      <w:t>r</w:t>
    </w:r>
    <w:r w:rsidRPr="00110CB6">
      <w:rPr>
        <w:i/>
      </w:rPr>
      <w:t>ing of Integrated Microfluidics (CADMIM) -- 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414"/>
    <w:multiLevelType w:val="hybridMultilevel"/>
    <w:tmpl w:val="55D40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81223"/>
    <w:multiLevelType w:val="hybridMultilevel"/>
    <w:tmpl w:val="05EC9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6626D"/>
    <w:multiLevelType w:val="hybridMultilevel"/>
    <w:tmpl w:val="7D4EAB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1E10FA"/>
    <w:multiLevelType w:val="hybridMultilevel"/>
    <w:tmpl w:val="19AC3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1422B"/>
    <w:multiLevelType w:val="hybridMultilevel"/>
    <w:tmpl w:val="7D4EAB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147016"/>
    <w:multiLevelType w:val="hybridMultilevel"/>
    <w:tmpl w:val="B4E2C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83E37"/>
    <w:multiLevelType w:val="hybridMultilevel"/>
    <w:tmpl w:val="CD3E5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D6ABC"/>
    <w:multiLevelType w:val="hybridMultilevel"/>
    <w:tmpl w:val="7D4EAB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852D32"/>
    <w:multiLevelType w:val="hybridMultilevel"/>
    <w:tmpl w:val="41BE8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E0094"/>
    <w:multiLevelType w:val="multilevel"/>
    <w:tmpl w:val="7D4EAB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1253FCD"/>
    <w:multiLevelType w:val="hybridMultilevel"/>
    <w:tmpl w:val="CD3E5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C73A5"/>
    <w:multiLevelType w:val="hybridMultilevel"/>
    <w:tmpl w:val="46B89434"/>
    <w:lvl w:ilvl="0" w:tplc="38F6A8AE">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D1F9D"/>
    <w:multiLevelType w:val="hybridMultilevel"/>
    <w:tmpl w:val="0CD21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C45CA"/>
    <w:multiLevelType w:val="hybridMultilevel"/>
    <w:tmpl w:val="20442AE0"/>
    <w:lvl w:ilvl="0" w:tplc="52AE3396">
      <w:start w:val="1"/>
      <w:numFmt w:val="bullet"/>
      <w:lvlText w:val=""/>
      <w:lvlJc w:val="left"/>
      <w:pPr>
        <w:tabs>
          <w:tab w:val="num" w:pos="720"/>
        </w:tabs>
        <w:ind w:left="720" w:hanging="360"/>
      </w:pPr>
      <w:rPr>
        <w:rFonts w:ascii="Wingdings" w:hAnsi="Wingdings" w:hint="default"/>
      </w:rPr>
    </w:lvl>
    <w:lvl w:ilvl="1" w:tplc="75C80FD2" w:tentative="1">
      <w:start w:val="1"/>
      <w:numFmt w:val="bullet"/>
      <w:lvlText w:val=""/>
      <w:lvlJc w:val="left"/>
      <w:pPr>
        <w:tabs>
          <w:tab w:val="num" w:pos="1440"/>
        </w:tabs>
        <w:ind w:left="1440" w:hanging="360"/>
      </w:pPr>
      <w:rPr>
        <w:rFonts w:ascii="Wingdings" w:hAnsi="Wingdings" w:hint="default"/>
      </w:rPr>
    </w:lvl>
    <w:lvl w:ilvl="2" w:tplc="5D2861BE" w:tentative="1">
      <w:start w:val="1"/>
      <w:numFmt w:val="bullet"/>
      <w:lvlText w:val=""/>
      <w:lvlJc w:val="left"/>
      <w:pPr>
        <w:tabs>
          <w:tab w:val="num" w:pos="2160"/>
        </w:tabs>
        <w:ind w:left="2160" w:hanging="360"/>
      </w:pPr>
      <w:rPr>
        <w:rFonts w:ascii="Wingdings" w:hAnsi="Wingdings" w:hint="default"/>
      </w:rPr>
    </w:lvl>
    <w:lvl w:ilvl="3" w:tplc="123A95BE" w:tentative="1">
      <w:start w:val="1"/>
      <w:numFmt w:val="bullet"/>
      <w:lvlText w:val=""/>
      <w:lvlJc w:val="left"/>
      <w:pPr>
        <w:tabs>
          <w:tab w:val="num" w:pos="2880"/>
        </w:tabs>
        <w:ind w:left="2880" w:hanging="360"/>
      </w:pPr>
      <w:rPr>
        <w:rFonts w:ascii="Wingdings" w:hAnsi="Wingdings" w:hint="default"/>
      </w:rPr>
    </w:lvl>
    <w:lvl w:ilvl="4" w:tplc="122EADD8" w:tentative="1">
      <w:start w:val="1"/>
      <w:numFmt w:val="bullet"/>
      <w:lvlText w:val=""/>
      <w:lvlJc w:val="left"/>
      <w:pPr>
        <w:tabs>
          <w:tab w:val="num" w:pos="3600"/>
        </w:tabs>
        <w:ind w:left="3600" w:hanging="360"/>
      </w:pPr>
      <w:rPr>
        <w:rFonts w:ascii="Wingdings" w:hAnsi="Wingdings" w:hint="default"/>
      </w:rPr>
    </w:lvl>
    <w:lvl w:ilvl="5" w:tplc="E9C855A4" w:tentative="1">
      <w:start w:val="1"/>
      <w:numFmt w:val="bullet"/>
      <w:lvlText w:val=""/>
      <w:lvlJc w:val="left"/>
      <w:pPr>
        <w:tabs>
          <w:tab w:val="num" w:pos="4320"/>
        </w:tabs>
        <w:ind w:left="4320" w:hanging="360"/>
      </w:pPr>
      <w:rPr>
        <w:rFonts w:ascii="Wingdings" w:hAnsi="Wingdings" w:hint="default"/>
      </w:rPr>
    </w:lvl>
    <w:lvl w:ilvl="6" w:tplc="C4E0598E" w:tentative="1">
      <w:start w:val="1"/>
      <w:numFmt w:val="bullet"/>
      <w:lvlText w:val=""/>
      <w:lvlJc w:val="left"/>
      <w:pPr>
        <w:tabs>
          <w:tab w:val="num" w:pos="5040"/>
        </w:tabs>
        <w:ind w:left="5040" w:hanging="360"/>
      </w:pPr>
      <w:rPr>
        <w:rFonts w:ascii="Wingdings" w:hAnsi="Wingdings" w:hint="default"/>
      </w:rPr>
    </w:lvl>
    <w:lvl w:ilvl="7" w:tplc="315E4CD4" w:tentative="1">
      <w:start w:val="1"/>
      <w:numFmt w:val="bullet"/>
      <w:lvlText w:val=""/>
      <w:lvlJc w:val="left"/>
      <w:pPr>
        <w:tabs>
          <w:tab w:val="num" w:pos="5760"/>
        </w:tabs>
        <w:ind w:left="5760" w:hanging="360"/>
      </w:pPr>
      <w:rPr>
        <w:rFonts w:ascii="Wingdings" w:hAnsi="Wingdings" w:hint="default"/>
      </w:rPr>
    </w:lvl>
    <w:lvl w:ilvl="8" w:tplc="D97E5D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541AE"/>
    <w:multiLevelType w:val="hybridMultilevel"/>
    <w:tmpl w:val="305E0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E5A45"/>
    <w:multiLevelType w:val="hybridMultilevel"/>
    <w:tmpl w:val="806E6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B47EC"/>
    <w:multiLevelType w:val="hybridMultilevel"/>
    <w:tmpl w:val="E3223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F2E65"/>
    <w:multiLevelType w:val="hybridMultilevel"/>
    <w:tmpl w:val="072C7952"/>
    <w:lvl w:ilvl="0" w:tplc="AE7A000A">
      <w:start w:val="1"/>
      <w:numFmt w:val="bullet"/>
      <w:lvlText w:val=""/>
      <w:lvlJc w:val="left"/>
      <w:pPr>
        <w:tabs>
          <w:tab w:val="num" w:pos="720"/>
        </w:tabs>
        <w:ind w:left="720" w:hanging="360"/>
      </w:pPr>
      <w:rPr>
        <w:rFonts w:ascii="Wingdings" w:hAnsi="Wingdings" w:hint="default"/>
      </w:rPr>
    </w:lvl>
    <w:lvl w:ilvl="1" w:tplc="F6F6C6C2">
      <w:start w:val="212"/>
      <w:numFmt w:val="bullet"/>
      <w:lvlText w:val="–"/>
      <w:lvlJc w:val="left"/>
      <w:pPr>
        <w:tabs>
          <w:tab w:val="num" w:pos="1440"/>
        </w:tabs>
        <w:ind w:left="1440" w:hanging="360"/>
      </w:pPr>
      <w:rPr>
        <w:rFonts w:ascii="Arial" w:hAnsi="Arial" w:hint="default"/>
      </w:rPr>
    </w:lvl>
    <w:lvl w:ilvl="2" w:tplc="9EDAA7A0" w:tentative="1">
      <w:start w:val="1"/>
      <w:numFmt w:val="bullet"/>
      <w:lvlText w:val=""/>
      <w:lvlJc w:val="left"/>
      <w:pPr>
        <w:tabs>
          <w:tab w:val="num" w:pos="2160"/>
        </w:tabs>
        <w:ind w:left="2160" w:hanging="360"/>
      </w:pPr>
      <w:rPr>
        <w:rFonts w:ascii="Wingdings" w:hAnsi="Wingdings" w:hint="default"/>
      </w:rPr>
    </w:lvl>
    <w:lvl w:ilvl="3" w:tplc="2E92E746" w:tentative="1">
      <w:start w:val="1"/>
      <w:numFmt w:val="bullet"/>
      <w:lvlText w:val=""/>
      <w:lvlJc w:val="left"/>
      <w:pPr>
        <w:tabs>
          <w:tab w:val="num" w:pos="2880"/>
        </w:tabs>
        <w:ind w:left="2880" w:hanging="360"/>
      </w:pPr>
      <w:rPr>
        <w:rFonts w:ascii="Wingdings" w:hAnsi="Wingdings" w:hint="default"/>
      </w:rPr>
    </w:lvl>
    <w:lvl w:ilvl="4" w:tplc="06A0934C" w:tentative="1">
      <w:start w:val="1"/>
      <w:numFmt w:val="bullet"/>
      <w:lvlText w:val=""/>
      <w:lvlJc w:val="left"/>
      <w:pPr>
        <w:tabs>
          <w:tab w:val="num" w:pos="3600"/>
        </w:tabs>
        <w:ind w:left="3600" w:hanging="360"/>
      </w:pPr>
      <w:rPr>
        <w:rFonts w:ascii="Wingdings" w:hAnsi="Wingdings" w:hint="default"/>
      </w:rPr>
    </w:lvl>
    <w:lvl w:ilvl="5" w:tplc="613004EC" w:tentative="1">
      <w:start w:val="1"/>
      <w:numFmt w:val="bullet"/>
      <w:lvlText w:val=""/>
      <w:lvlJc w:val="left"/>
      <w:pPr>
        <w:tabs>
          <w:tab w:val="num" w:pos="4320"/>
        </w:tabs>
        <w:ind w:left="4320" w:hanging="360"/>
      </w:pPr>
      <w:rPr>
        <w:rFonts w:ascii="Wingdings" w:hAnsi="Wingdings" w:hint="default"/>
      </w:rPr>
    </w:lvl>
    <w:lvl w:ilvl="6" w:tplc="222E8B22" w:tentative="1">
      <w:start w:val="1"/>
      <w:numFmt w:val="bullet"/>
      <w:lvlText w:val=""/>
      <w:lvlJc w:val="left"/>
      <w:pPr>
        <w:tabs>
          <w:tab w:val="num" w:pos="5040"/>
        </w:tabs>
        <w:ind w:left="5040" w:hanging="360"/>
      </w:pPr>
      <w:rPr>
        <w:rFonts w:ascii="Wingdings" w:hAnsi="Wingdings" w:hint="default"/>
      </w:rPr>
    </w:lvl>
    <w:lvl w:ilvl="7" w:tplc="1E5AB2D2" w:tentative="1">
      <w:start w:val="1"/>
      <w:numFmt w:val="bullet"/>
      <w:lvlText w:val=""/>
      <w:lvlJc w:val="left"/>
      <w:pPr>
        <w:tabs>
          <w:tab w:val="num" w:pos="5760"/>
        </w:tabs>
        <w:ind w:left="5760" w:hanging="360"/>
      </w:pPr>
      <w:rPr>
        <w:rFonts w:ascii="Wingdings" w:hAnsi="Wingdings" w:hint="default"/>
      </w:rPr>
    </w:lvl>
    <w:lvl w:ilvl="8" w:tplc="8FB2022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F74E8"/>
    <w:multiLevelType w:val="hybridMultilevel"/>
    <w:tmpl w:val="CD3E5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D3669"/>
    <w:multiLevelType w:val="hybridMultilevel"/>
    <w:tmpl w:val="2C7CF736"/>
    <w:lvl w:ilvl="0" w:tplc="D1729850">
      <w:start w:val="1"/>
      <w:numFmt w:val="decimal"/>
      <w:pStyle w:val="ColorfulList-Accent1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2438C8"/>
    <w:multiLevelType w:val="hybridMultilevel"/>
    <w:tmpl w:val="305E0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73B81"/>
    <w:multiLevelType w:val="hybridMultilevel"/>
    <w:tmpl w:val="0BEEF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70C7E"/>
    <w:multiLevelType w:val="hybridMultilevel"/>
    <w:tmpl w:val="F8EC3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51DEE"/>
    <w:multiLevelType w:val="hybridMultilevel"/>
    <w:tmpl w:val="E12CD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73F35"/>
    <w:multiLevelType w:val="hybridMultilevel"/>
    <w:tmpl w:val="1706AE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7F0BAC"/>
    <w:multiLevelType w:val="hybridMultilevel"/>
    <w:tmpl w:val="E3D636D4"/>
    <w:lvl w:ilvl="0" w:tplc="D1764F62">
      <w:start w:val="1"/>
      <w:numFmt w:val="bullet"/>
      <w:lvlText w:val="–"/>
      <w:lvlJc w:val="left"/>
      <w:pPr>
        <w:tabs>
          <w:tab w:val="num" w:pos="720"/>
        </w:tabs>
        <w:ind w:left="720" w:hanging="360"/>
      </w:pPr>
      <w:rPr>
        <w:rFonts w:ascii="Arial" w:hAnsi="Arial" w:hint="default"/>
      </w:rPr>
    </w:lvl>
    <w:lvl w:ilvl="1" w:tplc="DEC49BE0">
      <w:start w:val="1"/>
      <w:numFmt w:val="bullet"/>
      <w:lvlText w:val="–"/>
      <w:lvlJc w:val="left"/>
      <w:pPr>
        <w:tabs>
          <w:tab w:val="num" w:pos="1440"/>
        </w:tabs>
        <w:ind w:left="1440" w:hanging="360"/>
      </w:pPr>
      <w:rPr>
        <w:rFonts w:ascii="Arial" w:hAnsi="Arial" w:hint="default"/>
      </w:rPr>
    </w:lvl>
    <w:lvl w:ilvl="2" w:tplc="86D07D92" w:tentative="1">
      <w:start w:val="1"/>
      <w:numFmt w:val="bullet"/>
      <w:lvlText w:val="–"/>
      <w:lvlJc w:val="left"/>
      <w:pPr>
        <w:tabs>
          <w:tab w:val="num" w:pos="2160"/>
        </w:tabs>
        <w:ind w:left="2160" w:hanging="360"/>
      </w:pPr>
      <w:rPr>
        <w:rFonts w:ascii="Arial" w:hAnsi="Arial" w:hint="default"/>
      </w:rPr>
    </w:lvl>
    <w:lvl w:ilvl="3" w:tplc="AA9E170C" w:tentative="1">
      <w:start w:val="1"/>
      <w:numFmt w:val="bullet"/>
      <w:lvlText w:val="–"/>
      <w:lvlJc w:val="left"/>
      <w:pPr>
        <w:tabs>
          <w:tab w:val="num" w:pos="2880"/>
        </w:tabs>
        <w:ind w:left="2880" w:hanging="360"/>
      </w:pPr>
      <w:rPr>
        <w:rFonts w:ascii="Arial" w:hAnsi="Arial" w:hint="default"/>
      </w:rPr>
    </w:lvl>
    <w:lvl w:ilvl="4" w:tplc="AFB2C42A" w:tentative="1">
      <w:start w:val="1"/>
      <w:numFmt w:val="bullet"/>
      <w:lvlText w:val="–"/>
      <w:lvlJc w:val="left"/>
      <w:pPr>
        <w:tabs>
          <w:tab w:val="num" w:pos="3600"/>
        </w:tabs>
        <w:ind w:left="3600" w:hanging="360"/>
      </w:pPr>
      <w:rPr>
        <w:rFonts w:ascii="Arial" w:hAnsi="Arial" w:hint="default"/>
      </w:rPr>
    </w:lvl>
    <w:lvl w:ilvl="5" w:tplc="03CE3464" w:tentative="1">
      <w:start w:val="1"/>
      <w:numFmt w:val="bullet"/>
      <w:lvlText w:val="–"/>
      <w:lvlJc w:val="left"/>
      <w:pPr>
        <w:tabs>
          <w:tab w:val="num" w:pos="4320"/>
        </w:tabs>
        <w:ind w:left="4320" w:hanging="360"/>
      </w:pPr>
      <w:rPr>
        <w:rFonts w:ascii="Arial" w:hAnsi="Arial" w:hint="default"/>
      </w:rPr>
    </w:lvl>
    <w:lvl w:ilvl="6" w:tplc="393C1CE8" w:tentative="1">
      <w:start w:val="1"/>
      <w:numFmt w:val="bullet"/>
      <w:lvlText w:val="–"/>
      <w:lvlJc w:val="left"/>
      <w:pPr>
        <w:tabs>
          <w:tab w:val="num" w:pos="5040"/>
        </w:tabs>
        <w:ind w:left="5040" w:hanging="360"/>
      </w:pPr>
      <w:rPr>
        <w:rFonts w:ascii="Arial" w:hAnsi="Arial" w:hint="default"/>
      </w:rPr>
    </w:lvl>
    <w:lvl w:ilvl="7" w:tplc="5DE4832C" w:tentative="1">
      <w:start w:val="1"/>
      <w:numFmt w:val="bullet"/>
      <w:lvlText w:val="–"/>
      <w:lvlJc w:val="left"/>
      <w:pPr>
        <w:tabs>
          <w:tab w:val="num" w:pos="5760"/>
        </w:tabs>
        <w:ind w:left="5760" w:hanging="360"/>
      </w:pPr>
      <w:rPr>
        <w:rFonts w:ascii="Arial" w:hAnsi="Arial" w:hint="default"/>
      </w:rPr>
    </w:lvl>
    <w:lvl w:ilvl="8" w:tplc="A132683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7112981"/>
    <w:multiLevelType w:val="hybridMultilevel"/>
    <w:tmpl w:val="D21056CC"/>
    <w:lvl w:ilvl="0" w:tplc="3BBAB4D2">
      <w:start w:val="1"/>
      <w:numFmt w:val="bullet"/>
      <w:lvlText w:val="–"/>
      <w:lvlJc w:val="left"/>
      <w:pPr>
        <w:tabs>
          <w:tab w:val="num" w:pos="720"/>
        </w:tabs>
        <w:ind w:left="720" w:hanging="360"/>
      </w:pPr>
      <w:rPr>
        <w:rFonts w:ascii="Arial" w:hAnsi="Arial" w:hint="default"/>
      </w:rPr>
    </w:lvl>
    <w:lvl w:ilvl="1" w:tplc="48FEB748">
      <w:start w:val="1"/>
      <w:numFmt w:val="bullet"/>
      <w:lvlText w:val="–"/>
      <w:lvlJc w:val="left"/>
      <w:pPr>
        <w:tabs>
          <w:tab w:val="num" w:pos="1440"/>
        </w:tabs>
        <w:ind w:left="1440" w:hanging="360"/>
      </w:pPr>
      <w:rPr>
        <w:rFonts w:ascii="Arial" w:hAnsi="Arial" w:hint="default"/>
      </w:rPr>
    </w:lvl>
    <w:lvl w:ilvl="2" w:tplc="C750F432" w:tentative="1">
      <w:start w:val="1"/>
      <w:numFmt w:val="bullet"/>
      <w:lvlText w:val="–"/>
      <w:lvlJc w:val="left"/>
      <w:pPr>
        <w:tabs>
          <w:tab w:val="num" w:pos="2160"/>
        </w:tabs>
        <w:ind w:left="2160" w:hanging="360"/>
      </w:pPr>
      <w:rPr>
        <w:rFonts w:ascii="Arial" w:hAnsi="Arial" w:hint="default"/>
      </w:rPr>
    </w:lvl>
    <w:lvl w:ilvl="3" w:tplc="AFF6272E" w:tentative="1">
      <w:start w:val="1"/>
      <w:numFmt w:val="bullet"/>
      <w:lvlText w:val="–"/>
      <w:lvlJc w:val="left"/>
      <w:pPr>
        <w:tabs>
          <w:tab w:val="num" w:pos="2880"/>
        </w:tabs>
        <w:ind w:left="2880" w:hanging="360"/>
      </w:pPr>
      <w:rPr>
        <w:rFonts w:ascii="Arial" w:hAnsi="Arial" w:hint="default"/>
      </w:rPr>
    </w:lvl>
    <w:lvl w:ilvl="4" w:tplc="8C6807EC" w:tentative="1">
      <w:start w:val="1"/>
      <w:numFmt w:val="bullet"/>
      <w:lvlText w:val="–"/>
      <w:lvlJc w:val="left"/>
      <w:pPr>
        <w:tabs>
          <w:tab w:val="num" w:pos="3600"/>
        </w:tabs>
        <w:ind w:left="3600" w:hanging="360"/>
      </w:pPr>
      <w:rPr>
        <w:rFonts w:ascii="Arial" w:hAnsi="Arial" w:hint="default"/>
      </w:rPr>
    </w:lvl>
    <w:lvl w:ilvl="5" w:tplc="6A4C68CC" w:tentative="1">
      <w:start w:val="1"/>
      <w:numFmt w:val="bullet"/>
      <w:lvlText w:val="–"/>
      <w:lvlJc w:val="left"/>
      <w:pPr>
        <w:tabs>
          <w:tab w:val="num" w:pos="4320"/>
        </w:tabs>
        <w:ind w:left="4320" w:hanging="360"/>
      </w:pPr>
      <w:rPr>
        <w:rFonts w:ascii="Arial" w:hAnsi="Arial" w:hint="default"/>
      </w:rPr>
    </w:lvl>
    <w:lvl w:ilvl="6" w:tplc="D2907258" w:tentative="1">
      <w:start w:val="1"/>
      <w:numFmt w:val="bullet"/>
      <w:lvlText w:val="–"/>
      <w:lvlJc w:val="left"/>
      <w:pPr>
        <w:tabs>
          <w:tab w:val="num" w:pos="5040"/>
        </w:tabs>
        <w:ind w:left="5040" w:hanging="360"/>
      </w:pPr>
      <w:rPr>
        <w:rFonts w:ascii="Arial" w:hAnsi="Arial" w:hint="default"/>
      </w:rPr>
    </w:lvl>
    <w:lvl w:ilvl="7" w:tplc="0958F29E" w:tentative="1">
      <w:start w:val="1"/>
      <w:numFmt w:val="bullet"/>
      <w:lvlText w:val="–"/>
      <w:lvlJc w:val="left"/>
      <w:pPr>
        <w:tabs>
          <w:tab w:val="num" w:pos="5760"/>
        </w:tabs>
        <w:ind w:left="5760" w:hanging="360"/>
      </w:pPr>
      <w:rPr>
        <w:rFonts w:ascii="Arial" w:hAnsi="Arial" w:hint="default"/>
      </w:rPr>
    </w:lvl>
    <w:lvl w:ilvl="8" w:tplc="48C07E0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7485EC3"/>
    <w:multiLevelType w:val="hybridMultilevel"/>
    <w:tmpl w:val="56B61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20"/>
  </w:num>
  <w:num w:numId="4">
    <w:abstractNumId w:val="21"/>
  </w:num>
  <w:num w:numId="5">
    <w:abstractNumId w:val="5"/>
  </w:num>
  <w:num w:numId="6">
    <w:abstractNumId w:val="8"/>
  </w:num>
  <w:num w:numId="7">
    <w:abstractNumId w:val="3"/>
  </w:num>
  <w:num w:numId="8">
    <w:abstractNumId w:val="16"/>
  </w:num>
  <w:num w:numId="9">
    <w:abstractNumId w:val="4"/>
  </w:num>
  <w:num w:numId="10">
    <w:abstractNumId w:val="9"/>
  </w:num>
  <w:num w:numId="11">
    <w:abstractNumId w:val="24"/>
  </w:num>
  <w:num w:numId="12">
    <w:abstractNumId w:val="10"/>
  </w:num>
  <w:num w:numId="13">
    <w:abstractNumId w:val="14"/>
  </w:num>
  <w:num w:numId="14">
    <w:abstractNumId w:val="11"/>
  </w:num>
  <w:num w:numId="15">
    <w:abstractNumId w:val="22"/>
  </w:num>
  <w:num w:numId="16">
    <w:abstractNumId w:val="23"/>
  </w:num>
  <w:num w:numId="17">
    <w:abstractNumId w:val="1"/>
  </w:num>
  <w:num w:numId="18">
    <w:abstractNumId w:val="12"/>
  </w:num>
  <w:num w:numId="19">
    <w:abstractNumId w:val="0"/>
  </w:num>
  <w:num w:numId="20">
    <w:abstractNumId w:val="27"/>
  </w:num>
  <w:num w:numId="21">
    <w:abstractNumId w:val="18"/>
  </w:num>
  <w:num w:numId="22">
    <w:abstractNumId w:val="26"/>
  </w:num>
  <w:num w:numId="23">
    <w:abstractNumId w:val="25"/>
  </w:num>
  <w:num w:numId="24">
    <w:abstractNumId w:val="7"/>
  </w:num>
  <w:num w:numId="25">
    <w:abstractNumId w:val="17"/>
  </w:num>
  <w:num w:numId="26">
    <w:abstractNumId w:val="6"/>
  </w:num>
  <w:num w:numId="27">
    <w:abstractNumId w:val="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A4E"/>
    <w:rsid w:val="000031A5"/>
    <w:rsid w:val="00006603"/>
    <w:rsid w:val="000122C4"/>
    <w:rsid w:val="00016BD6"/>
    <w:rsid w:val="00021589"/>
    <w:rsid w:val="000272B1"/>
    <w:rsid w:val="00030028"/>
    <w:rsid w:val="0003021B"/>
    <w:rsid w:val="00042FD5"/>
    <w:rsid w:val="00043685"/>
    <w:rsid w:val="000444F8"/>
    <w:rsid w:val="0005176C"/>
    <w:rsid w:val="000519D8"/>
    <w:rsid w:val="00051BAC"/>
    <w:rsid w:val="00052464"/>
    <w:rsid w:val="00053CD0"/>
    <w:rsid w:val="000546F9"/>
    <w:rsid w:val="00061920"/>
    <w:rsid w:val="00062E7A"/>
    <w:rsid w:val="00064D66"/>
    <w:rsid w:val="000724FD"/>
    <w:rsid w:val="00074F18"/>
    <w:rsid w:val="00077D44"/>
    <w:rsid w:val="000841D0"/>
    <w:rsid w:val="00091CBC"/>
    <w:rsid w:val="000930AF"/>
    <w:rsid w:val="00097F35"/>
    <w:rsid w:val="000A00CC"/>
    <w:rsid w:val="000A17CC"/>
    <w:rsid w:val="000A2420"/>
    <w:rsid w:val="000B1F1C"/>
    <w:rsid w:val="000B54D1"/>
    <w:rsid w:val="000D6752"/>
    <w:rsid w:val="000E1557"/>
    <w:rsid w:val="000E368B"/>
    <w:rsid w:val="000F2E12"/>
    <w:rsid w:val="000F6EC8"/>
    <w:rsid w:val="000F7575"/>
    <w:rsid w:val="00102A4E"/>
    <w:rsid w:val="001044AD"/>
    <w:rsid w:val="00110CB6"/>
    <w:rsid w:val="00113E00"/>
    <w:rsid w:val="001157E7"/>
    <w:rsid w:val="00117B65"/>
    <w:rsid w:val="00124DA7"/>
    <w:rsid w:val="00130B63"/>
    <w:rsid w:val="00136D49"/>
    <w:rsid w:val="00140CCC"/>
    <w:rsid w:val="00164569"/>
    <w:rsid w:val="00164870"/>
    <w:rsid w:val="00170FDB"/>
    <w:rsid w:val="00173F30"/>
    <w:rsid w:val="00185824"/>
    <w:rsid w:val="00187BFC"/>
    <w:rsid w:val="00192CA4"/>
    <w:rsid w:val="00195A08"/>
    <w:rsid w:val="001A3E32"/>
    <w:rsid w:val="001A43FD"/>
    <w:rsid w:val="001A67F0"/>
    <w:rsid w:val="001B0AD0"/>
    <w:rsid w:val="001C25A4"/>
    <w:rsid w:val="001C33A1"/>
    <w:rsid w:val="001C47C2"/>
    <w:rsid w:val="001C4D54"/>
    <w:rsid w:val="001C7824"/>
    <w:rsid w:val="001D1030"/>
    <w:rsid w:val="001E5930"/>
    <w:rsid w:val="001F0296"/>
    <w:rsid w:val="001F3427"/>
    <w:rsid w:val="001F3AB9"/>
    <w:rsid w:val="001F403C"/>
    <w:rsid w:val="00201457"/>
    <w:rsid w:val="00205882"/>
    <w:rsid w:val="00212808"/>
    <w:rsid w:val="00217B42"/>
    <w:rsid w:val="00221487"/>
    <w:rsid w:val="002217CD"/>
    <w:rsid w:val="00231826"/>
    <w:rsid w:val="00233342"/>
    <w:rsid w:val="0023735D"/>
    <w:rsid w:val="00237ED7"/>
    <w:rsid w:val="002452E4"/>
    <w:rsid w:val="002566AF"/>
    <w:rsid w:val="00257FC1"/>
    <w:rsid w:val="00262742"/>
    <w:rsid w:val="00267DFD"/>
    <w:rsid w:val="00270FE2"/>
    <w:rsid w:val="0027625F"/>
    <w:rsid w:val="00281937"/>
    <w:rsid w:val="00283304"/>
    <w:rsid w:val="002853D3"/>
    <w:rsid w:val="00285E82"/>
    <w:rsid w:val="002869DB"/>
    <w:rsid w:val="002917B0"/>
    <w:rsid w:val="00296B0C"/>
    <w:rsid w:val="002B2E5B"/>
    <w:rsid w:val="002B47BE"/>
    <w:rsid w:val="002B48B0"/>
    <w:rsid w:val="002C38EE"/>
    <w:rsid w:val="002C4551"/>
    <w:rsid w:val="002D252C"/>
    <w:rsid w:val="002D63B4"/>
    <w:rsid w:val="002E1A04"/>
    <w:rsid w:val="002E306E"/>
    <w:rsid w:val="002E365F"/>
    <w:rsid w:val="002F3304"/>
    <w:rsid w:val="002F67EC"/>
    <w:rsid w:val="00320FE9"/>
    <w:rsid w:val="00321081"/>
    <w:rsid w:val="003241C9"/>
    <w:rsid w:val="0032426B"/>
    <w:rsid w:val="00324C3B"/>
    <w:rsid w:val="003302E2"/>
    <w:rsid w:val="00335921"/>
    <w:rsid w:val="00355C79"/>
    <w:rsid w:val="003562F3"/>
    <w:rsid w:val="0035732E"/>
    <w:rsid w:val="00360D56"/>
    <w:rsid w:val="003929AD"/>
    <w:rsid w:val="00394EB6"/>
    <w:rsid w:val="00395383"/>
    <w:rsid w:val="00396F22"/>
    <w:rsid w:val="003A1640"/>
    <w:rsid w:val="003A2D65"/>
    <w:rsid w:val="003A77A0"/>
    <w:rsid w:val="003B13C5"/>
    <w:rsid w:val="003B46FE"/>
    <w:rsid w:val="003B4787"/>
    <w:rsid w:val="003B54D9"/>
    <w:rsid w:val="003B75B9"/>
    <w:rsid w:val="003C1090"/>
    <w:rsid w:val="003D4273"/>
    <w:rsid w:val="003D58C9"/>
    <w:rsid w:val="003F30FC"/>
    <w:rsid w:val="004059E6"/>
    <w:rsid w:val="00407A00"/>
    <w:rsid w:val="004107A3"/>
    <w:rsid w:val="00411920"/>
    <w:rsid w:val="00413FE2"/>
    <w:rsid w:val="0043029A"/>
    <w:rsid w:val="00430503"/>
    <w:rsid w:val="00433735"/>
    <w:rsid w:val="00433F93"/>
    <w:rsid w:val="00434187"/>
    <w:rsid w:val="00450F36"/>
    <w:rsid w:val="004577AD"/>
    <w:rsid w:val="00471953"/>
    <w:rsid w:val="00476B45"/>
    <w:rsid w:val="00481405"/>
    <w:rsid w:val="004969C0"/>
    <w:rsid w:val="004A08DE"/>
    <w:rsid w:val="004A7BE9"/>
    <w:rsid w:val="004B04E4"/>
    <w:rsid w:val="004B4E39"/>
    <w:rsid w:val="004C051F"/>
    <w:rsid w:val="004D0AD8"/>
    <w:rsid w:val="004D4111"/>
    <w:rsid w:val="004D4327"/>
    <w:rsid w:val="004D4DAC"/>
    <w:rsid w:val="004E1456"/>
    <w:rsid w:val="004E1E82"/>
    <w:rsid w:val="004E3BA9"/>
    <w:rsid w:val="004E4A7D"/>
    <w:rsid w:val="004F29CC"/>
    <w:rsid w:val="004F76A0"/>
    <w:rsid w:val="00501289"/>
    <w:rsid w:val="005039B6"/>
    <w:rsid w:val="00507B45"/>
    <w:rsid w:val="00512FA9"/>
    <w:rsid w:val="00527FB1"/>
    <w:rsid w:val="00530B61"/>
    <w:rsid w:val="00530FDD"/>
    <w:rsid w:val="00536345"/>
    <w:rsid w:val="005409C3"/>
    <w:rsid w:val="00541240"/>
    <w:rsid w:val="005429ED"/>
    <w:rsid w:val="00546D8B"/>
    <w:rsid w:val="00552BB7"/>
    <w:rsid w:val="0056040B"/>
    <w:rsid w:val="00562CB6"/>
    <w:rsid w:val="005661CF"/>
    <w:rsid w:val="005813AE"/>
    <w:rsid w:val="005A35C6"/>
    <w:rsid w:val="005A4257"/>
    <w:rsid w:val="005A55BF"/>
    <w:rsid w:val="005B465C"/>
    <w:rsid w:val="005B5B05"/>
    <w:rsid w:val="005B720E"/>
    <w:rsid w:val="005C5C64"/>
    <w:rsid w:val="005D28F7"/>
    <w:rsid w:val="005D75D2"/>
    <w:rsid w:val="005E69C2"/>
    <w:rsid w:val="005F328F"/>
    <w:rsid w:val="00610D09"/>
    <w:rsid w:val="0061253B"/>
    <w:rsid w:val="00613323"/>
    <w:rsid w:val="00613682"/>
    <w:rsid w:val="00617BA8"/>
    <w:rsid w:val="006244B2"/>
    <w:rsid w:val="00633A92"/>
    <w:rsid w:val="0064282F"/>
    <w:rsid w:val="00643D51"/>
    <w:rsid w:val="00664F82"/>
    <w:rsid w:val="006710E5"/>
    <w:rsid w:val="006770E5"/>
    <w:rsid w:val="00680A7A"/>
    <w:rsid w:val="0068298E"/>
    <w:rsid w:val="00693A71"/>
    <w:rsid w:val="006A1D52"/>
    <w:rsid w:val="006A758F"/>
    <w:rsid w:val="006D3A84"/>
    <w:rsid w:val="006D5094"/>
    <w:rsid w:val="006D5A08"/>
    <w:rsid w:val="006F3771"/>
    <w:rsid w:val="00701F56"/>
    <w:rsid w:val="0071117B"/>
    <w:rsid w:val="00713755"/>
    <w:rsid w:val="00716CE4"/>
    <w:rsid w:val="00722FF7"/>
    <w:rsid w:val="00726482"/>
    <w:rsid w:val="007332E6"/>
    <w:rsid w:val="00735E31"/>
    <w:rsid w:val="007377E4"/>
    <w:rsid w:val="0074055F"/>
    <w:rsid w:val="00742C30"/>
    <w:rsid w:val="00760AB0"/>
    <w:rsid w:val="00763207"/>
    <w:rsid w:val="0078165D"/>
    <w:rsid w:val="00782966"/>
    <w:rsid w:val="007834E8"/>
    <w:rsid w:val="007907CB"/>
    <w:rsid w:val="007B67E0"/>
    <w:rsid w:val="007C25A6"/>
    <w:rsid w:val="007D0B4E"/>
    <w:rsid w:val="007D220A"/>
    <w:rsid w:val="007D5161"/>
    <w:rsid w:val="007E5DE6"/>
    <w:rsid w:val="007E6BBC"/>
    <w:rsid w:val="007E7492"/>
    <w:rsid w:val="007E7686"/>
    <w:rsid w:val="007F2B22"/>
    <w:rsid w:val="008073BE"/>
    <w:rsid w:val="00812A10"/>
    <w:rsid w:val="00837652"/>
    <w:rsid w:val="00840301"/>
    <w:rsid w:val="00846B79"/>
    <w:rsid w:val="00846DA9"/>
    <w:rsid w:val="00847BD0"/>
    <w:rsid w:val="00852A1F"/>
    <w:rsid w:val="00853003"/>
    <w:rsid w:val="008571A9"/>
    <w:rsid w:val="0086106C"/>
    <w:rsid w:val="008670B9"/>
    <w:rsid w:val="008678ED"/>
    <w:rsid w:val="00873C83"/>
    <w:rsid w:val="0087760B"/>
    <w:rsid w:val="00891B91"/>
    <w:rsid w:val="00892655"/>
    <w:rsid w:val="008A3C03"/>
    <w:rsid w:val="008C13E9"/>
    <w:rsid w:val="008C1BDA"/>
    <w:rsid w:val="008C38A2"/>
    <w:rsid w:val="008D28FF"/>
    <w:rsid w:val="008D3D2E"/>
    <w:rsid w:val="008E2C2F"/>
    <w:rsid w:val="008E3D79"/>
    <w:rsid w:val="008E715F"/>
    <w:rsid w:val="008F1722"/>
    <w:rsid w:val="008F2126"/>
    <w:rsid w:val="008F34C2"/>
    <w:rsid w:val="00914AE7"/>
    <w:rsid w:val="00916648"/>
    <w:rsid w:val="00920DBE"/>
    <w:rsid w:val="00921175"/>
    <w:rsid w:val="00922C57"/>
    <w:rsid w:val="009262D4"/>
    <w:rsid w:val="00936770"/>
    <w:rsid w:val="00937A9B"/>
    <w:rsid w:val="0094044E"/>
    <w:rsid w:val="00945082"/>
    <w:rsid w:val="0094786B"/>
    <w:rsid w:val="00951111"/>
    <w:rsid w:val="00955053"/>
    <w:rsid w:val="0096073D"/>
    <w:rsid w:val="009610EB"/>
    <w:rsid w:val="00961AF2"/>
    <w:rsid w:val="00975663"/>
    <w:rsid w:val="0098597D"/>
    <w:rsid w:val="00986E48"/>
    <w:rsid w:val="00992951"/>
    <w:rsid w:val="00995D67"/>
    <w:rsid w:val="00997DCF"/>
    <w:rsid w:val="009A7768"/>
    <w:rsid w:val="009B35DF"/>
    <w:rsid w:val="009C0A26"/>
    <w:rsid w:val="009C179B"/>
    <w:rsid w:val="009C1898"/>
    <w:rsid w:val="009C1B6C"/>
    <w:rsid w:val="009C3925"/>
    <w:rsid w:val="009C4EEC"/>
    <w:rsid w:val="009C52C9"/>
    <w:rsid w:val="009D0D71"/>
    <w:rsid w:val="009E1177"/>
    <w:rsid w:val="00A0032C"/>
    <w:rsid w:val="00A00D80"/>
    <w:rsid w:val="00A02781"/>
    <w:rsid w:val="00A05EC6"/>
    <w:rsid w:val="00A10A6B"/>
    <w:rsid w:val="00A112C2"/>
    <w:rsid w:val="00A11782"/>
    <w:rsid w:val="00A16DC5"/>
    <w:rsid w:val="00A22B03"/>
    <w:rsid w:val="00A23220"/>
    <w:rsid w:val="00A23402"/>
    <w:rsid w:val="00A24199"/>
    <w:rsid w:val="00A42197"/>
    <w:rsid w:val="00A42EF8"/>
    <w:rsid w:val="00A470E8"/>
    <w:rsid w:val="00A573A4"/>
    <w:rsid w:val="00A70F8E"/>
    <w:rsid w:val="00A71021"/>
    <w:rsid w:val="00A73EA5"/>
    <w:rsid w:val="00A818D4"/>
    <w:rsid w:val="00A831F5"/>
    <w:rsid w:val="00A87ADD"/>
    <w:rsid w:val="00A87E50"/>
    <w:rsid w:val="00A95AE3"/>
    <w:rsid w:val="00AB160B"/>
    <w:rsid w:val="00AB3E9C"/>
    <w:rsid w:val="00AC694B"/>
    <w:rsid w:val="00AD188E"/>
    <w:rsid w:val="00AD1C09"/>
    <w:rsid w:val="00AD3BA2"/>
    <w:rsid w:val="00AD4B5F"/>
    <w:rsid w:val="00AD6FE6"/>
    <w:rsid w:val="00AE3BCF"/>
    <w:rsid w:val="00AE4130"/>
    <w:rsid w:val="00AF0790"/>
    <w:rsid w:val="00AF506E"/>
    <w:rsid w:val="00B00991"/>
    <w:rsid w:val="00B06F89"/>
    <w:rsid w:val="00B1207E"/>
    <w:rsid w:val="00B1266A"/>
    <w:rsid w:val="00B16A84"/>
    <w:rsid w:val="00B24628"/>
    <w:rsid w:val="00B3259B"/>
    <w:rsid w:val="00B3518A"/>
    <w:rsid w:val="00B36690"/>
    <w:rsid w:val="00B41BA7"/>
    <w:rsid w:val="00B501D6"/>
    <w:rsid w:val="00B50552"/>
    <w:rsid w:val="00B53EAD"/>
    <w:rsid w:val="00B54DD8"/>
    <w:rsid w:val="00B64786"/>
    <w:rsid w:val="00B72A03"/>
    <w:rsid w:val="00B759EE"/>
    <w:rsid w:val="00B7681B"/>
    <w:rsid w:val="00B86E81"/>
    <w:rsid w:val="00B963E0"/>
    <w:rsid w:val="00BA3A3B"/>
    <w:rsid w:val="00BA4D0F"/>
    <w:rsid w:val="00BA77BD"/>
    <w:rsid w:val="00BB4DC5"/>
    <w:rsid w:val="00BC03DE"/>
    <w:rsid w:val="00BC0A2E"/>
    <w:rsid w:val="00BC184D"/>
    <w:rsid w:val="00BC2D27"/>
    <w:rsid w:val="00BC40C6"/>
    <w:rsid w:val="00BD056E"/>
    <w:rsid w:val="00BD4764"/>
    <w:rsid w:val="00BD5054"/>
    <w:rsid w:val="00BD58BF"/>
    <w:rsid w:val="00BE217D"/>
    <w:rsid w:val="00C059A4"/>
    <w:rsid w:val="00C07B26"/>
    <w:rsid w:val="00C07DD8"/>
    <w:rsid w:val="00C10F10"/>
    <w:rsid w:val="00C158A7"/>
    <w:rsid w:val="00C16BED"/>
    <w:rsid w:val="00C17845"/>
    <w:rsid w:val="00C23CDA"/>
    <w:rsid w:val="00C2710F"/>
    <w:rsid w:val="00C32AF1"/>
    <w:rsid w:val="00C36B24"/>
    <w:rsid w:val="00C36E50"/>
    <w:rsid w:val="00C373EF"/>
    <w:rsid w:val="00C445F9"/>
    <w:rsid w:val="00C45347"/>
    <w:rsid w:val="00C47F74"/>
    <w:rsid w:val="00C51C18"/>
    <w:rsid w:val="00C561B6"/>
    <w:rsid w:val="00C633B0"/>
    <w:rsid w:val="00C641CA"/>
    <w:rsid w:val="00C66915"/>
    <w:rsid w:val="00C743E4"/>
    <w:rsid w:val="00C822C0"/>
    <w:rsid w:val="00C82E6A"/>
    <w:rsid w:val="00C83454"/>
    <w:rsid w:val="00C90D25"/>
    <w:rsid w:val="00C91603"/>
    <w:rsid w:val="00C97BC4"/>
    <w:rsid w:val="00CA3D49"/>
    <w:rsid w:val="00CA44A3"/>
    <w:rsid w:val="00CA4BB5"/>
    <w:rsid w:val="00CB0C11"/>
    <w:rsid w:val="00CB102F"/>
    <w:rsid w:val="00CB2E32"/>
    <w:rsid w:val="00CC0085"/>
    <w:rsid w:val="00CC0721"/>
    <w:rsid w:val="00CC4408"/>
    <w:rsid w:val="00CC65F4"/>
    <w:rsid w:val="00CD1C30"/>
    <w:rsid w:val="00CD1F9F"/>
    <w:rsid w:val="00CD3C0C"/>
    <w:rsid w:val="00CD4A40"/>
    <w:rsid w:val="00CD5754"/>
    <w:rsid w:val="00CE03E2"/>
    <w:rsid w:val="00CE353A"/>
    <w:rsid w:val="00CF1E32"/>
    <w:rsid w:val="00CF5B1C"/>
    <w:rsid w:val="00D03858"/>
    <w:rsid w:val="00D10776"/>
    <w:rsid w:val="00D17779"/>
    <w:rsid w:val="00D2743A"/>
    <w:rsid w:val="00D34AB8"/>
    <w:rsid w:val="00D36DD5"/>
    <w:rsid w:val="00D46206"/>
    <w:rsid w:val="00D473B0"/>
    <w:rsid w:val="00D54882"/>
    <w:rsid w:val="00D6288F"/>
    <w:rsid w:val="00D70818"/>
    <w:rsid w:val="00D76572"/>
    <w:rsid w:val="00D80466"/>
    <w:rsid w:val="00D83DB2"/>
    <w:rsid w:val="00D93D17"/>
    <w:rsid w:val="00D96556"/>
    <w:rsid w:val="00D96917"/>
    <w:rsid w:val="00DA2860"/>
    <w:rsid w:val="00DA372E"/>
    <w:rsid w:val="00DB0930"/>
    <w:rsid w:val="00DB1926"/>
    <w:rsid w:val="00DB44BA"/>
    <w:rsid w:val="00DC1D0D"/>
    <w:rsid w:val="00DC26BC"/>
    <w:rsid w:val="00DD1A65"/>
    <w:rsid w:val="00DD21C8"/>
    <w:rsid w:val="00DD4574"/>
    <w:rsid w:val="00DD49D5"/>
    <w:rsid w:val="00DD570D"/>
    <w:rsid w:val="00DD616E"/>
    <w:rsid w:val="00E02CCC"/>
    <w:rsid w:val="00E11828"/>
    <w:rsid w:val="00E14EC0"/>
    <w:rsid w:val="00E20BD5"/>
    <w:rsid w:val="00E22300"/>
    <w:rsid w:val="00E2450F"/>
    <w:rsid w:val="00E344DA"/>
    <w:rsid w:val="00E423F6"/>
    <w:rsid w:val="00E44E3B"/>
    <w:rsid w:val="00E474B7"/>
    <w:rsid w:val="00E52320"/>
    <w:rsid w:val="00E524D3"/>
    <w:rsid w:val="00E54245"/>
    <w:rsid w:val="00E560E2"/>
    <w:rsid w:val="00E60E41"/>
    <w:rsid w:val="00E74EA4"/>
    <w:rsid w:val="00E77F65"/>
    <w:rsid w:val="00E81985"/>
    <w:rsid w:val="00E84C07"/>
    <w:rsid w:val="00E84D07"/>
    <w:rsid w:val="00EA63E8"/>
    <w:rsid w:val="00EB12D4"/>
    <w:rsid w:val="00EB1C91"/>
    <w:rsid w:val="00ED0E99"/>
    <w:rsid w:val="00ED37AE"/>
    <w:rsid w:val="00ED57BB"/>
    <w:rsid w:val="00EE2E25"/>
    <w:rsid w:val="00EE5D32"/>
    <w:rsid w:val="00EE612C"/>
    <w:rsid w:val="00EE63A5"/>
    <w:rsid w:val="00EF108E"/>
    <w:rsid w:val="00F105C6"/>
    <w:rsid w:val="00F15294"/>
    <w:rsid w:val="00F17A11"/>
    <w:rsid w:val="00F22291"/>
    <w:rsid w:val="00F25D05"/>
    <w:rsid w:val="00F324AD"/>
    <w:rsid w:val="00F33670"/>
    <w:rsid w:val="00F33E43"/>
    <w:rsid w:val="00F345C6"/>
    <w:rsid w:val="00F37AA3"/>
    <w:rsid w:val="00F43DE3"/>
    <w:rsid w:val="00F43E27"/>
    <w:rsid w:val="00F54836"/>
    <w:rsid w:val="00F61EFB"/>
    <w:rsid w:val="00F628D8"/>
    <w:rsid w:val="00F722DA"/>
    <w:rsid w:val="00F728B4"/>
    <w:rsid w:val="00F74095"/>
    <w:rsid w:val="00F74FD9"/>
    <w:rsid w:val="00F77795"/>
    <w:rsid w:val="00F84C78"/>
    <w:rsid w:val="00F86417"/>
    <w:rsid w:val="00F909DB"/>
    <w:rsid w:val="00F9136C"/>
    <w:rsid w:val="00F96CFA"/>
    <w:rsid w:val="00FA3553"/>
    <w:rsid w:val="00FA52C1"/>
    <w:rsid w:val="00FB5BE1"/>
    <w:rsid w:val="00FC179C"/>
    <w:rsid w:val="00FC759E"/>
    <w:rsid w:val="00FD12B6"/>
    <w:rsid w:val="00FD2778"/>
    <w:rsid w:val="00FE0334"/>
    <w:rsid w:val="00FE33AE"/>
    <w:rsid w:val="00FE39FB"/>
    <w:rsid w:val="00FE4225"/>
    <w:rsid w:val="00FF3E0A"/>
    <w:rsid w:val="00FF5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25D264"/>
  <w15:chartTrackingRefBased/>
  <w15:docId w15:val="{F377F94D-3282-4DAA-AA24-ECA7CDB5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DB"/>
    <w:pPr>
      <w:spacing w:after="240" w:line="276" w:lineRule="auto"/>
    </w:pPr>
    <w:rPr>
      <w:szCs w:val="22"/>
    </w:rPr>
  </w:style>
  <w:style w:type="paragraph" w:styleId="Heading1">
    <w:name w:val="heading 1"/>
    <w:basedOn w:val="Normal"/>
    <w:next w:val="Normal"/>
    <w:link w:val="Heading1Char"/>
    <w:uiPriority w:val="9"/>
    <w:qFormat/>
    <w:rsid w:val="00102A4E"/>
    <w:pPr>
      <w:keepNext/>
      <w:keepLines/>
      <w:spacing w:before="480"/>
      <w:outlineLvl w:val="0"/>
    </w:pPr>
    <w:rPr>
      <w:rFonts w:eastAsia="Times New Roman" w:cs="Times New Roman"/>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A4E"/>
    <w:pPr>
      <w:tabs>
        <w:tab w:val="center" w:pos="4680"/>
        <w:tab w:val="right" w:pos="9360"/>
      </w:tabs>
      <w:spacing w:line="240" w:lineRule="auto"/>
    </w:pPr>
  </w:style>
  <w:style w:type="character" w:customStyle="1" w:styleId="HeaderChar">
    <w:name w:val="Header Char"/>
    <w:basedOn w:val="DefaultParagraphFont"/>
    <w:link w:val="Header"/>
    <w:uiPriority w:val="99"/>
    <w:rsid w:val="00102A4E"/>
  </w:style>
  <w:style w:type="paragraph" w:styleId="Footer">
    <w:name w:val="footer"/>
    <w:basedOn w:val="Normal"/>
    <w:link w:val="FooterChar"/>
    <w:uiPriority w:val="99"/>
    <w:unhideWhenUsed/>
    <w:rsid w:val="00102A4E"/>
    <w:pPr>
      <w:tabs>
        <w:tab w:val="center" w:pos="4680"/>
        <w:tab w:val="right" w:pos="9360"/>
      </w:tabs>
      <w:spacing w:line="240" w:lineRule="auto"/>
    </w:pPr>
  </w:style>
  <w:style w:type="character" w:customStyle="1" w:styleId="FooterChar">
    <w:name w:val="Footer Char"/>
    <w:basedOn w:val="DefaultParagraphFont"/>
    <w:link w:val="Footer"/>
    <w:uiPriority w:val="99"/>
    <w:rsid w:val="00102A4E"/>
  </w:style>
  <w:style w:type="paragraph" w:styleId="BalloonText">
    <w:name w:val="Balloon Text"/>
    <w:basedOn w:val="Normal"/>
    <w:link w:val="BalloonTextChar"/>
    <w:uiPriority w:val="99"/>
    <w:semiHidden/>
    <w:unhideWhenUsed/>
    <w:rsid w:val="00102A4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02A4E"/>
    <w:rPr>
      <w:rFonts w:ascii="Tahoma" w:hAnsi="Tahoma" w:cs="Tahoma"/>
      <w:sz w:val="16"/>
      <w:szCs w:val="16"/>
    </w:rPr>
  </w:style>
  <w:style w:type="character" w:customStyle="1" w:styleId="Heading1Char">
    <w:name w:val="Heading 1 Char"/>
    <w:link w:val="Heading1"/>
    <w:uiPriority w:val="9"/>
    <w:rsid w:val="00102A4E"/>
    <w:rPr>
      <w:rFonts w:eastAsia="Times New Roman" w:cs="Times New Roman"/>
      <w:b/>
      <w:bCs/>
      <w:color w:val="000000"/>
      <w:sz w:val="22"/>
      <w:szCs w:val="28"/>
    </w:rPr>
  </w:style>
  <w:style w:type="paragraph" w:customStyle="1" w:styleId="ColorfulList-Accent11">
    <w:name w:val="Colorful List - Accent 11"/>
    <w:basedOn w:val="Normal"/>
    <w:uiPriority w:val="34"/>
    <w:qFormat/>
    <w:rsid w:val="00102A4E"/>
    <w:pPr>
      <w:numPr>
        <w:numId w:val="2"/>
      </w:numPr>
    </w:pPr>
  </w:style>
  <w:style w:type="table" w:styleId="TableGrid">
    <w:name w:val="Table Grid"/>
    <w:basedOn w:val="TableNormal"/>
    <w:uiPriority w:val="59"/>
    <w:rsid w:val="00B07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81405"/>
    <w:rPr>
      <w:rFonts w:ascii="Calibri" w:eastAsia="Times New Roman" w:hAnsi="Calibri" w:cs="Times New Roman"/>
      <w:sz w:val="22"/>
      <w:szCs w:val="22"/>
    </w:rPr>
  </w:style>
  <w:style w:type="character" w:customStyle="1" w:styleId="NoSpacingChar">
    <w:name w:val="No Spacing Char"/>
    <w:link w:val="NoSpacing"/>
    <w:uiPriority w:val="1"/>
    <w:rsid w:val="00481405"/>
    <w:rPr>
      <w:rFonts w:ascii="Calibri" w:eastAsia="Times New Roman" w:hAnsi="Calibri" w:cs="Times New Roman"/>
      <w:sz w:val="22"/>
      <w:szCs w:val="22"/>
      <w:lang w:val="en-US" w:eastAsia="en-US" w:bidi="ar-SA"/>
    </w:rPr>
  </w:style>
  <w:style w:type="paragraph" w:styleId="ListParagraph">
    <w:name w:val="List Paragraph"/>
    <w:basedOn w:val="Normal"/>
    <w:uiPriority w:val="34"/>
    <w:qFormat/>
    <w:rsid w:val="00F909DB"/>
    <w:pPr>
      <w:spacing w:after="0" w:line="240" w:lineRule="auto"/>
      <w:ind w:left="720"/>
    </w:pPr>
    <w:rPr>
      <w:rFonts w:ascii="Times New Roman" w:hAnsi="Times New Roman" w:cs="Times New Roman"/>
      <w:sz w:val="24"/>
      <w:szCs w:val="24"/>
    </w:rPr>
  </w:style>
  <w:style w:type="character" w:styleId="Hyperlink">
    <w:name w:val="Hyperlink"/>
    <w:uiPriority w:val="99"/>
    <w:semiHidden/>
    <w:unhideWhenUsed/>
    <w:rsid w:val="00D80466"/>
    <w:rPr>
      <w:color w:val="0000FF"/>
      <w:u w:val="single"/>
    </w:rPr>
  </w:style>
  <w:style w:type="character" w:styleId="CommentReference">
    <w:name w:val="annotation reference"/>
    <w:uiPriority w:val="99"/>
    <w:semiHidden/>
    <w:unhideWhenUsed/>
    <w:rsid w:val="007D0B4E"/>
    <w:rPr>
      <w:sz w:val="16"/>
      <w:szCs w:val="16"/>
    </w:rPr>
  </w:style>
  <w:style w:type="paragraph" w:styleId="CommentText">
    <w:name w:val="annotation text"/>
    <w:basedOn w:val="Normal"/>
    <w:link w:val="CommentTextChar"/>
    <w:uiPriority w:val="99"/>
    <w:unhideWhenUsed/>
    <w:rsid w:val="007D0B4E"/>
    <w:rPr>
      <w:szCs w:val="20"/>
    </w:rPr>
  </w:style>
  <w:style w:type="character" w:customStyle="1" w:styleId="CommentTextChar">
    <w:name w:val="Comment Text Char"/>
    <w:basedOn w:val="DefaultParagraphFont"/>
    <w:link w:val="CommentText"/>
    <w:uiPriority w:val="99"/>
    <w:rsid w:val="007D0B4E"/>
  </w:style>
  <w:style w:type="paragraph" w:styleId="CommentSubject">
    <w:name w:val="annotation subject"/>
    <w:basedOn w:val="CommentText"/>
    <w:next w:val="CommentText"/>
    <w:link w:val="CommentSubjectChar"/>
    <w:uiPriority w:val="99"/>
    <w:semiHidden/>
    <w:unhideWhenUsed/>
    <w:rsid w:val="001C4D54"/>
    <w:rPr>
      <w:b/>
      <w:bCs/>
    </w:rPr>
  </w:style>
  <w:style w:type="character" w:customStyle="1" w:styleId="CommentSubjectChar">
    <w:name w:val="Comment Subject Char"/>
    <w:link w:val="CommentSubject"/>
    <w:uiPriority w:val="99"/>
    <w:semiHidden/>
    <w:rsid w:val="001C4D54"/>
    <w:rPr>
      <w:b/>
      <w:bCs/>
    </w:rPr>
  </w:style>
  <w:style w:type="paragraph" w:styleId="Revision">
    <w:name w:val="Revision"/>
    <w:hidden/>
    <w:uiPriority w:val="71"/>
    <w:rsid w:val="00170FD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93857">
      <w:bodyDiv w:val="1"/>
      <w:marLeft w:val="0"/>
      <w:marRight w:val="0"/>
      <w:marTop w:val="0"/>
      <w:marBottom w:val="0"/>
      <w:divBdr>
        <w:top w:val="none" w:sz="0" w:space="0" w:color="auto"/>
        <w:left w:val="none" w:sz="0" w:space="0" w:color="auto"/>
        <w:bottom w:val="none" w:sz="0" w:space="0" w:color="auto"/>
        <w:right w:val="none" w:sz="0" w:space="0" w:color="auto"/>
      </w:divBdr>
    </w:div>
    <w:div w:id="987132097">
      <w:bodyDiv w:val="1"/>
      <w:marLeft w:val="0"/>
      <w:marRight w:val="0"/>
      <w:marTop w:val="0"/>
      <w:marBottom w:val="0"/>
      <w:divBdr>
        <w:top w:val="none" w:sz="0" w:space="0" w:color="auto"/>
        <w:left w:val="none" w:sz="0" w:space="0" w:color="auto"/>
        <w:bottom w:val="none" w:sz="0" w:space="0" w:color="auto"/>
        <w:right w:val="none" w:sz="0" w:space="0" w:color="auto"/>
      </w:divBdr>
      <w:divsChild>
        <w:div w:id="807017642">
          <w:marLeft w:val="1080"/>
          <w:marRight w:val="0"/>
          <w:marTop w:val="96"/>
          <w:marBottom w:val="0"/>
          <w:divBdr>
            <w:top w:val="none" w:sz="0" w:space="0" w:color="auto"/>
            <w:left w:val="none" w:sz="0" w:space="0" w:color="auto"/>
            <w:bottom w:val="none" w:sz="0" w:space="0" w:color="auto"/>
            <w:right w:val="none" w:sz="0" w:space="0" w:color="auto"/>
          </w:divBdr>
        </w:div>
      </w:divsChild>
    </w:div>
    <w:div w:id="1185971989">
      <w:bodyDiv w:val="1"/>
      <w:marLeft w:val="0"/>
      <w:marRight w:val="0"/>
      <w:marTop w:val="0"/>
      <w:marBottom w:val="0"/>
      <w:divBdr>
        <w:top w:val="none" w:sz="0" w:space="0" w:color="auto"/>
        <w:left w:val="none" w:sz="0" w:space="0" w:color="auto"/>
        <w:bottom w:val="none" w:sz="0" w:space="0" w:color="auto"/>
        <w:right w:val="none" w:sz="0" w:space="0" w:color="auto"/>
      </w:divBdr>
      <w:divsChild>
        <w:div w:id="576747333">
          <w:marLeft w:val="446"/>
          <w:marRight w:val="0"/>
          <w:marTop w:val="240"/>
          <w:marBottom w:val="0"/>
          <w:divBdr>
            <w:top w:val="none" w:sz="0" w:space="0" w:color="auto"/>
            <w:left w:val="none" w:sz="0" w:space="0" w:color="auto"/>
            <w:bottom w:val="none" w:sz="0" w:space="0" w:color="auto"/>
            <w:right w:val="none" w:sz="0" w:space="0" w:color="auto"/>
          </w:divBdr>
        </w:div>
      </w:divsChild>
    </w:div>
    <w:div w:id="1403596448">
      <w:bodyDiv w:val="1"/>
      <w:marLeft w:val="0"/>
      <w:marRight w:val="0"/>
      <w:marTop w:val="0"/>
      <w:marBottom w:val="0"/>
      <w:divBdr>
        <w:top w:val="none" w:sz="0" w:space="0" w:color="auto"/>
        <w:left w:val="none" w:sz="0" w:space="0" w:color="auto"/>
        <w:bottom w:val="none" w:sz="0" w:space="0" w:color="auto"/>
        <w:right w:val="none" w:sz="0" w:space="0" w:color="auto"/>
      </w:divBdr>
      <w:divsChild>
        <w:div w:id="1736320181">
          <w:marLeft w:val="1080"/>
          <w:marRight w:val="0"/>
          <w:marTop w:val="96"/>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3E59C-59CE-4CCF-AF5E-4D345C9B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6843</Words>
  <Characters>39008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CADMIM</vt:lpstr>
    </vt:vector>
  </TitlesOfParts>
  <Company/>
  <LinksUpToDate>false</LinksUpToDate>
  <CharactersWithSpaces>45760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CADMIM</dc:title>
  <dc:subject>Center Bylaws</dc:subject>
  <dc:creator>Drew</dc:creator>
  <cp:keywords/>
  <dc:description/>
  <cp:lastModifiedBy>Gisela Lin</cp:lastModifiedBy>
  <cp:revision>7</cp:revision>
  <dcterms:created xsi:type="dcterms:W3CDTF">2022-10-21T21:15:00Z</dcterms:created>
  <dcterms:modified xsi:type="dcterms:W3CDTF">2023-11-15T19:57:00Z</dcterms:modified>
</cp:coreProperties>
</file>